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43632A" w14:textId="6697AB66" w:rsidR="00A93E89" w:rsidRPr="00991508" w:rsidRDefault="0035415F" w:rsidP="006D44B6">
      <w:pPr>
        <w:pStyle w:val="Heading3"/>
        <w:spacing w:after="160"/>
      </w:pPr>
      <w:r w:rsidRPr="00991508">
        <w:rPr>
          <w:rFonts w:hint="cs"/>
          <w:rtl/>
        </w:rPr>
        <w:t>اقتباسات من دليل اسفير بشأن تعزيز القدرة على الثبات في حالات الكوارث</w:t>
      </w:r>
    </w:p>
    <w:tbl>
      <w:tblPr>
        <w:tblW w:w="0" w:type="auto"/>
        <w:tblBorders>
          <w:top w:val="dashed" w:sz="4" w:space="0" w:color="579305" w:themeColor="accent1"/>
          <w:left w:val="dashed" w:sz="4" w:space="0" w:color="579305" w:themeColor="accent1"/>
          <w:bottom w:val="dashed" w:sz="4" w:space="0" w:color="579305" w:themeColor="accent1"/>
          <w:right w:val="dashed" w:sz="4" w:space="0" w:color="579305" w:themeColor="accent1"/>
          <w:insideH w:val="dashed" w:sz="4" w:space="0" w:color="579305" w:themeColor="accent1"/>
          <w:insideV w:val="dashed" w:sz="4" w:space="0" w:color="579305" w:themeColor="accent1"/>
        </w:tblBorders>
        <w:tblLook w:val="04A0" w:firstRow="1" w:lastRow="0" w:firstColumn="1" w:lastColumn="0" w:noHBand="0" w:noVBand="1"/>
      </w:tblPr>
      <w:tblGrid>
        <w:gridCol w:w="9628"/>
      </w:tblGrid>
      <w:tr w:rsidR="00F51600" w:rsidRPr="00377301" w14:paraId="38EA0C97" w14:textId="77777777" w:rsidTr="00377301">
        <w:trPr>
          <w:trHeight w:val="2155"/>
        </w:trPr>
        <w:tc>
          <w:tcPr>
            <w:tcW w:w="9628" w:type="dxa"/>
            <w:shd w:val="clear" w:color="auto" w:fill="auto"/>
            <w:vAlign w:val="center"/>
          </w:tcPr>
          <w:p w14:paraId="75402576" w14:textId="329357D3" w:rsidR="00F51600" w:rsidRPr="00377301" w:rsidRDefault="00C24CBA" w:rsidP="00931E05">
            <w:pPr>
              <w:pStyle w:val="table"/>
              <w:rPr>
                <w:sz w:val="32"/>
                <w:szCs w:val="32"/>
              </w:rPr>
            </w:pPr>
            <w:r w:rsidRPr="00377301">
              <w:rPr>
                <w:rFonts w:hint="cs"/>
                <w:sz w:val="32"/>
                <w:szCs w:val="32"/>
                <w:rtl/>
              </w:rPr>
              <w:t>"يتحتم عل جهود الإغاثة والانتعاش مراعاة المخاطر ومواطن الضعف في المستقبل، لكي يتسنى إعادة بناء المجتمعات لتكون أكثر أمناً، وتعزيز القدرة على الصمود والتعافي. ص.11</w:t>
            </w:r>
          </w:p>
        </w:tc>
      </w:tr>
      <w:tr w:rsidR="00F51600" w:rsidRPr="00377301" w14:paraId="2742594F" w14:textId="77777777" w:rsidTr="00377301">
        <w:trPr>
          <w:trHeight w:val="2155"/>
        </w:trPr>
        <w:tc>
          <w:tcPr>
            <w:tcW w:w="9628" w:type="dxa"/>
            <w:shd w:val="clear" w:color="auto" w:fill="auto"/>
            <w:vAlign w:val="center"/>
          </w:tcPr>
          <w:p w14:paraId="05F1C5EA" w14:textId="669A6E87" w:rsidR="00F51600" w:rsidRPr="00377301" w:rsidRDefault="00C24CBA" w:rsidP="00931E05">
            <w:pPr>
              <w:pStyle w:val="table"/>
              <w:rPr>
                <w:sz w:val="32"/>
                <w:szCs w:val="32"/>
              </w:rPr>
            </w:pPr>
            <w:r w:rsidRPr="00377301">
              <w:rPr>
                <w:rFonts w:hint="cs"/>
                <w:sz w:val="32"/>
                <w:szCs w:val="32"/>
                <w:rtl/>
              </w:rPr>
              <w:t>"إن دعم أساليب مواجهة الناس للأزمات وثباتهم وقدرتهم على الانتعاش يُعد أمراً أساسياً"</w:t>
            </w:r>
            <w:r w:rsidR="00A5485F" w:rsidRPr="00377301">
              <w:rPr>
                <w:rFonts w:hint="cs"/>
                <w:sz w:val="32"/>
                <w:szCs w:val="32"/>
                <w:rtl/>
              </w:rPr>
              <w:t xml:space="preserve"> الفصول الفنية، ص. 86، 142، 238، 280.</w:t>
            </w:r>
          </w:p>
        </w:tc>
      </w:tr>
      <w:tr w:rsidR="00F51600" w:rsidRPr="00377301" w14:paraId="4D914FA8" w14:textId="77777777" w:rsidTr="00377301">
        <w:trPr>
          <w:trHeight w:val="2155"/>
        </w:trPr>
        <w:tc>
          <w:tcPr>
            <w:tcW w:w="9628" w:type="dxa"/>
            <w:shd w:val="clear" w:color="auto" w:fill="auto"/>
            <w:vAlign w:val="center"/>
          </w:tcPr>
          <w:p w14:paraId="3768E120" w14:textId="4E921F55" w:rsidR="00F51600" w:rsidRPr="00377301" w:rsidRDefault="00A5485F" w:rsidP="00931E05">
            <w:pPr>
              <w:pStyle w:val="table"/>
              <w:rPr>
                <w:sz w:val="32"/>
                <w:szCs w:val="32"/>
              </w:rPr>
            </w:pPr>
            <w:r w:rsidRPr="00377301">
              <w:rPr>
                <w:rFonts w:hint="cs"/>
                <w:sz w:val="32"/>
                <w:szCs w:val="32"/>
                <w:rtl/>
              </w:rPr>
              <w:t>"يجب أن تكون مساعد</w:t>
            </w:r>
            <w:r w:rsidR="00C40B01" w:rsidRPr="00377301">
              <w:rPr>
                <w:rFonts w:hint="cs"/>
                <w:sz w:val="32"/>
                <w:szCs w:val="32"/>
                <w:rtl/>
              </w:rPr>
              <w:t>ات الإغاثة جهداً يبذل لتقوية الض</w:t>
            </w:r>
            <w:r w:rsidRPr="00377301">
              <w:rPr>
                <w:rFonts w:hint="cs"/>
                <w:sz w:val="32"/>
                <w:szCs w:val="32"/>
                <w:rtl/>
              </w:rPr>
              <w:t>عفاء على مواجهة الكوارث في المستقبل وإشباع الحاجات الضرورية". قواعد ا</w:t>
            </w:r>
            <w:r w:rsidR="004D507D" w:rsidRPr="00377301">
              <w:rPr>
                <w:rFonts w:hint="cs"/>
                <w:sz w:val="32"/>
                <w:szCs w:val="32"/>
                <w:rtl/>
              </w:rPr>
              <w:t>ل</w:t>
            </w:r>
            <w:r w:rsidRPr="00377301">
              <w:rPr>
                <w:rFonts w:hint="cs"/>
                <w:sz w:val="32"/>
                <w:szCs w:val="32"/>
                <w:rtl/>
              </w:rPr>
              <w:t>سلوك، الب</w:t>
            </w:r>
            <w:r w:rsidR="004D507D" w:rsidRPr="00377301">
              <w:rPr>
                <w:rFonts w:hint="cs"/>
                <w:sz w:val="32"/>
                <w:szCs w:val="32"/>
                <w:rtl/>
              </w:rPr>
              <w:t>ن</w:t>
            </w:r>
            <w:r w:rsidRPr="00377301">
              <w:rPr>
                <w:rFonts w:hint="cs"/>
                <w:sz w:val="32"/>
                <w:szCs w:val="32"/>
                <w:rtl/>
              </w:rPr>
              <w:t>د رقم 8، ص. 356</w:t>
            </w:r>
          </w:p>
        </w:tc>
      </w:tr>
      <w:tr w:rsidR="00F51600" w:rsidRPr="00377301" w14:paraId="6F337D07" w14:textId="77777777" w:rsidTr="00377301">
        <w:trPr>
          <w:trHeight w:val="2155"/>
        </w:trPr>
        <w:tc>
          <w:tcPr>
            <w:tcW w:w="9628" w:type="dxa"/>
            <w:shd w:val="clear" w:color="auto" w:fill="auto"/>
            <w:vAlign w:val="center"/>
          </w:tcPr>
          <w:p w14:paraId="476736E3" w14:textId="77777777" w:rsidR="004C381F" w:rsidRPr="00377301" w:rsidRDefault="00C40B01" w:rsidP="00931E05">
            <w:pPr>
              <w:pStyle w:val="table"/>
              <w:rPr>
                <w:sz w:val="32"/>
                <w:szCs w:val="32"/>
                <w:rtl/>
              </w:rPr>
            </w:pPr>
            <w:r w:rsidRPr="00377301">
              <w:rPr>
                <w:rFonts w:hint="cs"/>
                <w:sz w:val="32"/>
                <w:szCs w:val="32"/>
                <w:rtl/>
              </w:rPr>
              <w:t>"للناس الحق في الحصول على معونة غذائية تضمن بقاءهم على قيد الحياة، وتحفظ كرامتهم وتحول دون نضوب موجوداتهم، وتعزز ثباتهم".</w:t>
            </w:r>
          </w:p>
          <w:p w14:paraId="3D6BE4C0" w14:textId="0BA4D75B" w:rsidR="00F51600" w:rsidRPr="00377301" w:rsidRDefault="004C381F" w:rsidP="00931E05">
            <w:pPr>
              <w:pStyle w:val="table"/>
              <w:rPr>
                <w:sz w:val="32"/>
                <w:szCs w:val="32"/>
              </w:rPr>
            </w:pPr>
            <w:r w:rsidRPr="00377301">
              <w:rPr>
                <w:rFonts w:hint="cs"/>
                <w:sz w:val="32"/>
                <w:szCs w:val="32"/>
                <w:rtl/>
              </w:rPr>
              <w:t xml:space="preserve">معيار الأمن الغذائي رقم 1: الأمن الغذائي العام، </w:t>
            </w:r>
            <w:r w:rsidR="00C40B01" w:rsidRPr="00377301">
              <w:rPr>
                <w:rFonts w:hint="cs"/>
                <w:sz w:val="32"/>
                <w:szCs w:val="32"/>
                <w:rtl/>
              </w:rPr>
              <w:t>ص. 169</w:t>
            </w:r>
          </w:p>
        </w:tc>
      </w:tr>
    </w:tbl>
    <w:p w14:paraId="16CAD445" w14:textId="77777777" w:rsidR="00377301" w:rsidRDefault="00377301" w:rsidP="00931E05">
      <w:pPr>
        <w:pStyle w:val="Heading3"/>
        <w:rPr>
          <w:rtl/>
        </w:rPr>
      </w:pPr>
      <w:r>
        <w:rPr>
          <w:rtl/>
        </w:rPr>
        <w:br w:type="page"/>
      </w:r>
    </w:p>
    <w:p w14:paraId="2550693C" w14:textId="5FCB56B9" w:rsidR="00A93E89" w:rsidRPr="00991508" w:rsidRDefault="003F1ED1" w:rsidP="00377301">
      <w:pPr>
        <w:pStyle w:val="Heading3"/>
        <w:spacing w:after="120"/>
      </w:pPr>
      <w:r w:rsidRPr="00991508">
        <w:rPr>
          <w:rFonts w:hint="cs"/>
          <w:rtl/>
        </w:rPr>
        <w:lastRenderedPageBreak/>
        <w:t>تمرين التعريفات</w:t>
      </w:r>
    </w:p>
    <w:tbl>
      <w:tblPr>
        <w:bidiVisual/>
        <w:tblW w:w="9486" w:type="dxa"/>
        <w:tblBorders>
          <w:top w:val="dashed" w:sz="6" w:space="0" w:color="579305"/>
          <w:left w:val="dashed" w:sz="6" w:space="0" w:color="579305"/>
          <w:bottom w:val="dashed" w:sz="6" w:space="0" w:color="579305"/>
          <w:right w:val="dashed" w:sz="6" w:space="0" w:color="579305"/>
          <w:insideH w:val="dashed" w:sz="6" w:space="0" w:color="579305"/>
          <w:insideV w:val="dashed" w:sz="6" w:space="0" w:color="579305"/>
        </w:tblBorders>
        <w:tblLayout w:type="fixed"/>
        <w:tblLook w:val="04A0" w:firstRow="1" w:lastRow="0" w:firstColumn="1" w:lastColumn="0" w:noHBand="0" w:noVBand="1"/>
      </w:tblPr>
      <w:tblGrid>
        <w:gridCol w:w="4241"/>
        <w:gridCol w:w="5245"/>
      </w:tblGrid>
      <w:tr w:rsidR="00C7602D" w:rsidRPr="00991508" w14:paraId="46616E78" w14:textId="77777777" w:rsidTr="006D44B6">
        <w:trPr>
          <w:cantSplit/>
          <w:tblHeader/>
        </w:trPr>
        <w:tc>
          <w:tcPr>
            <w:tcW w:w="4241" w:type="dxa"/>
            <w:shd w:val="clear" w:color="auto" w:fill="E9F7CB"/>
            <w:vAlign w:val="center"/>
          </w:tcPr>
          <w:p w14:paraId="18E1E7A9" w14:textId="7E20722D" w:rsidR="00A93E89" w:rsidRPr="00991508" w:rsidRDefault="006E5974" w:rsidP="00CF4D3E">
            <w:pPr>
              <w:pStyle w:val="tableheading"/>
              <w:jc w:val="center"/>
            </w:pPr>
            <w:r w:rsidRPr="00991508">
              <w:rPr>
                <w:rFonts w:hint="cs"/>
                <w:rtl/>
              </w:rPr>
              <w:t>المصطلح</w:t>
            </w:r>
          </w:p>
        </w:tc>
        <w:tc>
          <w:tcPr>
            <w:tcW w:w="5245" w:type="dxa"/>
            <w:shd w:val="clear" w:color="auto" w:fill="E9F7CB"/>
            <w:vAlign w:val="center"/>
          </w:tcPr>
          <w:p w14:paraId="2D80EF19" w14:textId="6B2AE3B0" w:rsidR="00A93E89" w:rsidRPr="00991508" w:rsidRDefault="006E5974" w:rsidP="00931E05">
            <w:pPr>
              <w:pStyle w:val="tableheading"/>
            </w:pPr>
            <w:r w:rsidRPr="00991508">
              <w:rPr>
                <w:rFonts w:hint="cs"/>
                <w:rtl/>
              </w:rPr>
              <w:t>التعريف</w:t>
            </w:r>
          </w:p>
        </w:tc>
      </w:tr>
      <w:tr w:rsidR="00A93E89" w:rsidRPr="00991508" w14:paraId="460B5E1B" w14:textId="77777777" w:rsidTr="006D44B6">
        <w:trPr>
          <w:cantSplit/>
          <w:trHeight w:val="1134"/>
        </w:trPr>
        <w:tc>
          <w:tcPr>
            <w:tcW w:w="4241" w:type="dxa"/>
            <w:shd w:val="clear" w:color="auto" w:fill="auto"/>
            <w:vAlign w:val="center"/>
          </w:tcPr>
          <w:p w14:paraId="22D7CA03" w14:textId="092A73C7" w:rsidR="00A93E89" w:rsidRPr="00991508" w:rsidRDefault="00260E5E" w:rsidP="00CF4D3E">
            <w:pPr>
              <w:pStyle w:val="tableheading"/>
              <w:jc w:val="center"/>
            </w:pPr>
            <w:r w:rsidRPr="00991508">
              <w:rPr>
                <w:rFonts w:hint="cs"/>
                <w:rtl/>
              </w:rPr>
              <w:t>المخاطر</w:t>
            </w:r>
          </w:p>
        </w:tc>
        <w:tc>
          <w:tcPr>
            <w:tcW w:w="5245" w:type="dxa"/>
            <w:shd w:val="clear" w:color="auto" w:fill="auto"/>
            <w:vAlign w:val="center"/>
          </w:tcPr>
          <w:p w14:paraId="4B6D9574" w14:textId="3BDFC1FE" w:rsidR="00A93E89" w:rsidRPr="00991508" w:rsidRDefault="00260E5E" w:rsidP="00931E05">
            <w:pPr>
              <w:pStyle w:val="table"/>
            </w:pPr>
            <w:r w:rsidRPr="00991508">
              <w:rPr>
                <w:rFonts w:hint="cs"/>
                <w:rtl/>
              </w:rPr>
              <w:t>مزيج من احتمالية وقوع حدث</w:t>
            </w:r>
            <w:r w:rsidR="00522EAB">
              <w:rPr>
                <w:rFonts w:hint="cs"/>
                <w:rtl/>
              </w:rPr>
              <w:t xml:space="preserve"> ما</w:t>
            </w:r>
            <w:r w:rsidRPr="00991508">
              <w:rPr>
                <w:rFonts w:hint="cs"/>
                <w:rtl/>
              </w:rPr>
              <w:t xml:space="preserve"> وعواقبه السلبية (</w:t>
            </w:r>
            <w:r w:rsidRPr="00991508">
              <w:t>UNISDR 2007</w:t>
            </w:r>
            <w:r w:rsidRPr="00991508">
              <w:rPr>
                <w:rFonts w:hint="cs"/>
                <w:rtl/>
              </w:rPr>
              <w:t>)</w:t>
            </w:r>
          </w:p>
        </w:tc>
      </w:tr>
      <w:tr w:rsidR="00A93E89" w:rsidRPr="00991508" w14:paraId="2D63D78C" w14:textId="77777777" w:rsidTr="006D44B6">
        <w:trPr>
          <w:cantSplit/>
          <w:trHeight w:val="1134"/>
        </w:trPr>
        <w:tc>
          <w:tcPr>
            <w:tcW w:w="4241" w:type="dxa"/>
            <w:shd w:val="clear" w:color="auto" w:fill="auto"/>
            <w:vAlign w:val="center"/>
          </w:tcPr>
          <w:p w14:paraId="3D25F8EB" w14:textId="4985F8F9" w:rsidR="00A93E89" w:rsidRPr="00991508" w:rsidRDefault="00260E5E" w:rsidP="00CF4D3E">
            <w:pPr>
              <w:pStyle w:val="tableheading"/>
              <w:jc w:val="center"/>
            </w:pPr>
            <w:r w:rsidRPr="00991508">
              <w:rPr>
                <w:rFonts w:hint="cs"/>
                <w:rtl/>
              </w:rPr>
              <w:t>الصدمة</w:t>
            </w:r>
          </w:p>
        </w:tc>
        <w:tc>
          <w:tcPr>
            <w:tcW w:w="5245" w:type="dxa"/>
            <w:shd w:val="clear" w:color="auto" w:fill="auto"/>
            <w:vAlign w:val="center"/>
          </w:tcPr>
          <w:p w14:paraId="33AD320A" w14:textId="1222102F" w:rsidR="00260E5E" w:rsidRPr="00991508" w:rsidRDefault="00260E5E" w:rsidP="00931E05">
            <w:pPr>
              <w:pStyle w:val="table"/>
              <w:rPr>
                <w:rtl/>
              </w:rPr>
            </w:pPr>
            <w:r w:rsidRPr="00991508">
              <w:rPr>
                <w:rFonts w:hint="cs"/>
                <w:rtl/>
              </w:rPr>
              <w:t xml:space="preserve">أحداث مفاجئة لها أثر </w:t>
            </w:r>
            <w:r w:rsidR="004D507D" w:rsidRPr="00991508">
              <w:rPr>
                <w:rFonts w:hint="cs"/>
                <w:rtl/>
              </w:rPr>
              <w:t xml:space="preserve">كبير، </w:t>
            </w:r>
            <w:r w:rsidR="009643E7" w:rsidRPr="00991508">
              <w:rPr>
                <w:rFonts w:hint="cs"/>
                <w:rtl/>
              </w:rPr>
              <w:t>عادة</w:t>
            </w:r>
            <w:r w:rsidRPr="00991508">
              <w:rPr>
                <w:rFonts w:hint="cs"/>
                <w:rtl/>
              </w:rPr>
              <w:t xml:space="preserve"> ما يكون سلبياً، على سبل المعيشة. وهي أحداث غير دورية وتتفاوت في شدتها، وتشمل أحداثا مثل الكوارث الطبيعية، والصراع المدني، وفقدان الوظيفة، وانهيار أسعار المحاصيل بالنسبة لل</w:t>
            </w:r>
            <w:r w:rsidR="00522EAB">
              <w:rPr>
                <w:rFonts w:hint="cs"/>
                <w:rtl/>
              </w:rPr>
              <w:t>م</w:t>
            </w:r>
            <w:r w:rsidRPr="00991508">
              <w:rPr>
                <w:rFonts w:hint="cs"/>
                <w:rtl/>
              </w:rPr>
              <w:t>زارعين، إلخ (</w:t>
            </w:r>
            <w:r w:rsidRPr="00991508">
              <w:t>DFID, 2001</w:t>
            </w:r>
            <w:r w:rsidRPr="00991508">
              <w:rPr>
                <w:rFonts w:hint="cs"/>
                <w:rtl/>
              </w:rPr>
              <w:t>)</w:t>
            </w:r>
          </w:p>
          <w:p w14:paraId="74CB114E" w14:textId="2AB4AEE0" w:rsidR="00A93E89" w:rsidRPr="00991508" w:rsidRDefault="00A93E89" w:rsidP="00931E05">
            <w:pPr>
              <w:pStyle w:val="table"/>
            </w:pPr>
          </w:p>
        </w:tc>
      </w:tr>
      <w:tr w:rsidR="00A93E89" w:rsidRPr="00991508" w14:paraId="355FB8F7" w14:textId="77777777" w:rsidTr="006D44B6">
        <w:trPr>
          <w:cantSplit/>
          <w:trHeight w:val="1134"/>
        </w:trPr>
        <w:tc>
          <w:tcPr>
            <w:tcW w:w="4241" w:type="dxa"/>
            <w:shd w:val="clear" w:color="auto" w:fill="auto"/>
            <w:vAlign w:val="center"/>
          </w:tcPr>
          <w:p w14:paraId="6A50D339" w14:textId="38446F54" w:rsidR="00A93E89" w:rsidRPr="00991508" w:rsidRDefault="00260E5E" w:rsidP="00CF4D3E">
            <w:pPr>
              <w:pStyle w:val="tableheading"/>
              <w:jc w:val="center"/>
            </w:pPr>
            <w:r w:rsidRPr="00991508">
              <w:rPr>
                <w:rFonts w:hint="cs"/>
                <w:rtl/>
              </w:rPr>
              <w:t>مواطن الضعف</w:t>
            </w:r>
          </w:p>
        </w:tc>
        <w:tc>
          <w:tcPr>
            <w:tcW w:w="5245" w:type="dxa"/>
            <w:shd w:val="clear" w:color="auto" w:fill="auto"/>
            <w:vAlign w:val="center"/>
          </w:tcPr>
          <w:p w14:paraId="346FBFAF" w14:textId="2B5D9F9F" w:rsidR="00260E5E" w:rsidRPr="00991508" w:rsidRDefault="00260E5E" w:rsidP="00931E05">
            <w:pPr>
              <w:pStyle w:val="table"/>
              <w:rPr>
                <w:rtl/>
              </w:rPr>
            </w:pPr>
            <w:r w:rsidRPr="00991508">
              <w:rPr>
                <w:rFonts w:hint="cs"/>
                <w:rtl/>
              </w:rPr>
              <w:t>العوامل التي تسبب قابلية التأثر للعناصر المُعرّضة.</w:t>
            </w:r>
          </w:p>
          <w:p w14:paraId="39C428D8" w14:textId="0394B5B6" w:rsidR="00A93E89" w:rsidRPr="00991508" w:rsidRDefault="00A93E89" w:rsidP="00931E05">
            <w:pPr>
              <w:pStyle w:val="table"/>
            </w:pPr>
          </w:p>
        </w:tc>
      </w:tr>
      <w:tr w:rsidR="00A93E89" w:rsidRPr="00991508" w14:paraId="21300146" w14:textId="77777777" w:rsidTr="006D44B6">
        <w:trPr>
          <w:cantSplit/>
          <w:trHeight w:val="1134"/>
        </w:trPr>
        <w:tc>
          <w:tcPr>
            <w:tcW w:w="4241" w:type="dxa"/>
            <w:shd w:val="clear" w:color="auto" w:fill="auto"/>
            <w:vAlign w:val="center"/>
          </w:tcPr>
          <w:p w14:paraId="3447B50C" w14:textId="29688CA5" w:rsidR="00A93E89" w:rsidRPr="00991508" w:rsidRDefault="00260E5E" w:rsidP="00CF4D3E">
            <w:pPr>
              <w:pStyle w:val="tableheading"/>
              <w:jc w:val="center"/>
            </w:pPr>
            <w:r w:rsidRPr="00991508">
              <w:rPr>
                <w:rFonts w:hint="cs"/>
                <w:rtl/>
              </w:rPr>
              <w:t>القدرات</w:t>
            </w:r>
          </w:p>
        </w:tc>
        <w:tc>
          <w:tcPr>
            <w:tcW w:w="5245" w:type="dxa"/>
            <w:shd w:val="clear" w:color="auto" w:fill="auto"/>
            <w:vAlign w:val="center"/>
          </w:tcPr>
          <w:p w14:paraId="3DF9549E" w14:textId="140CAFE3" w:rsidR="00A93E89" w:rsidRPr="00991508" w:rsidRDefault="00260E5E" w:rsidP="00931E05">
            <w:pPr>
              <w:pStyle w:val="table"/>
            </w:pPr>
            <w:r w:rsidRPr="00991508">
              <w:rPr>
                <w:rFonts w:hint="cs"/>
                <w:rtl/>
              </w:rPr>
              <w:t>القدرات هي مزيج من مواطن القوة، السمات والموارد داخل موقع خطر ما يعزز المقاومة ضد الصدمات ويمكن استخدامها للتعافي من الصدمات. وقد تشمل القدرات: الرأسمال البشري، المادي، الطبيعي، الاقتصادي، والاجتماعي.</w:t>
            </w:r>
          </w:p>
        </w:tc>
      </w:tr>
      <w:tr w:rsidR="00A93E89" w:rsidRPr="00991508" w14:paraId="6D8670D2" w14:textId="77777777" w:rsidTr="006D44B6">
        <w:trPr>
          <w:cantSplit/>
          <w:trHeight w:val="1134"/>
        </w:trPr>
        <w:tc>
          <w:tcPr>
            <w:tcW w:w="4241" w:type="dxa"/>
            <w:shd w:val="clear" w:color="auto" w:fill="auto"/>
            <w:vAlign w:val="center"/>
          </w:tcPr>
          <w:p w14:paraId="49ADA608" w14:textId="2493DB80" w:rsidR="00A93E89" w:rsidRPr="00991508" w:rsidRDefault="00260E5E" w:rsidP="00CF4D3E">
            <w:pPr>
              <w:pStyle w:val="tableheading"/>
              <w:jc w:val="center"/>
            </w:pPr>
            <w:r w:rsidRPr="00991508">
              <w:rPr>
                <w:rFonts w:hint="cs"/>
                <w:rtl/>
              </w:rPr>
              <w:t>الحد من مخاطر الكوارث</w:t>
            </w:r>
          </w:p>
        </w:tc>
        <w:tc>
          <w:tcPr>
            <w:tcW w:w="5245" w:type="dxa"/>
            <w:shd w:val="clear" w:color="auto" w:fill="auto"/>
            <w:vAlign w:val="center"/>
          </w:tcPr>
          <w:p w14:paraId="25C76550" w14:textId="4BD8702B" w:rsidR="00A93E89" w:rsidRPr="00991508" w:rsidRDefault="009643E7" w:rsidP="00931E05">
            <w:pPr>
              <w:pStyle w:val="table"/>
            </w:pPr>
            <w:r w:rsidRPr="00991508">
              <w:rPr>
                <w:rtl/>
              </w:rPr>
              <w:t xml:space="preserve">مفهوم وممارسة </w:t>
            </w:r>
            <w:r w:rsidRPr="00991508">
              <w:rPr>
                <w:rFonts w:hint="cs"/>
                <w:rtl/>
              </w:rPr>
              <w:t>ا</w:t>
            </w:r>
            <w:r w:rsidR="00260E5E" w:rsidRPr="00991508">
              <w:rPr>
                <w:rtl/>
              </w:rPr>
              <w:t>لحد من مخاطر الكوارث من خلال جهود م</w:t>
            </w:r>
            <w:r w:rsidRPr="00991508">
              <w:rPr>
                <w:rFonts w:hint="cs"/>
                <w:rtl/>
              </w:rPr>
              <w:t>نظمة ل</w:t>
            </w:r>
            <w:r w:rsidR="00260E5E" w:rsidRPr="00991508">
              <w:rPr>
                <w:rtl/>
              </w:rPr>
              <w:t>تحليل وإدارة العوامل المسببة للكوارث، بما في ذلك عن طريق خفض التعرض للمخاطر، تقل</w:t>
            </w:r>
            <w:r w:rsidRPr="00991508">
              <w:rPr>
                <w:rFonts w:hint="cs"/>
                <w:rtl/>
              </w:rPr>
              <w:t>ي</w:t>
            </w:r>
            <w:r w:rsidRPr="00991508">
              <w:rPr>
                <w:rtl/>
              </w:rPr>
              <w:t xml:space="preserve">ل تعرض </w:t>
            </w:r>
            <w:r w:rsidRPr="00991508">
              <w:rPr>
                <w:rFonts w:hint="cs"/>
                <w:rtl/>
              </w:rPr>
              <w:t>ا</w:t>
            </w:r>
            <w:r w:rsidR="00260E5E" w:rsidRPr="00991508">
              <w:rPr>
                <w:rtl/>
              </w:rPr>
              <w:t xml:space="preserve">لأشخاص والممتلكات، والإدارة </w:t>
            </w:r>
            <w:r w:rsidRPr="00991508">
              <w:rPr>
                <w:rtl/>
              </w:rPr>
              <w:t>الحكيمة للأراضي، والبيئة، وت</w:t>
            </w:r>
            <w:r w:rsidRPr="00991508">
              <w:rPr>
                <w:rFonts w:hint="cs"/>
                <w:rtl/>
              </w:rPr>
              <w:t>عزيز</w:t>
            </w:r>
            <w:r w:rsidR="00260E5E" w:rsidRPr="00991508">
              <w:rPr>
                <w:rtl/>
              </w:rPr>
              <w:t xml:space="preserve"> التأهب للأحداث السلبية</w:t>
            </w:r>
            <w:r w:rsidRPr="00991508">
              <w:rPr>
                <w:rFonts w:hint="cs"/>
                <w:rtl/>
              </w:rPr>
              <w:t>.</w:t>
            </w:r>
            <w:r w:rsidRPr="00991508">
              <w:t xml:space="preserve"> (DRR Terminology, UNISDR 2009)</w:t>
            </w:r>
          </w:p>
        </w:tc>
      </w:tr>
      <w:tr w:rsidR="00A93E89" w:rsidRPr="00991508" w14:paraId="73949C66" w14:textId="77777777" w:rsidTr="006D44B6">
        <w:trPr>
          <w:cantSplit/>
          <w:trHeight w:val="1134"/>
        </w:trPr>
        <w:tc>
          <w:tcPr>
            <w:tcW w:w="4241" w:type="dxa"/>
            <w:shd w:val="clear" w:color="auto" w:fill="auto"/>
            <w:vAlign w:val="center"/>
          </w:tcPr>
          <w:p w14:paraId="59A3226C" w14:textId="58BF5714" w:rsidR="00A93E89" w:rsidRPr="00991508" w:rsidRDefault="009643E7" w:rsidP="00CF4D3E">
            <w:pPr>
              <w:pStyle w:val="tableheading"/>
              <w:jc w:val="center"/>
            </w:pPr>
            <w:r w:rsidRPr="00991508">
              <w:rPr>
                <w:rFonts w:hint="cs"/>
                <w:rtl/>
              </w:rPr>
              <w:t>معادلة مخاطر الكوارث</w:t>
            </w:r>
          </w:p>
        </w:tc>
        <w:tc>
          <w:tcPr>
            <w:tcW w:w="5245" w:type="dxa"/>
            <w:shd w:val="clear" w:color="auto" w:fill="auto"/>
            <w:vAlign w:val="center"/>
          </w:tcPr>
          <w:p w14:paraId="626C6612" w14:textId="5C8159F9" w:rsidR="00A93E89" w:rsidRPr="00991508" w:rsidRDefault="00CF4D3E" w:rsidP="006A6B61">
            <w:pPr>
              <w:pStyle w:val="table"/>
              <w:tabs>
                <w:tab w:val="left" w:pos="1876"/>
              </w:tabs>
            </w:pPr>
            <w:r w:rsidRPr="006A6B61">
              <w:rPr>
                <w:rFonts w:hint="cs"/>
                <w:rtl/>
              </w:rPr>
              <w:t xml:space="preserve">مخاطر </w:t>
            </w:r>
            <w:proofErr w:type="gramStart"/>
            <w:r w:rsidRPr="006A6B61">
              <w:rPr>
                <w:rFonts w:hint="cs"/>
                <w:rtl/>
              </w:rPr>
              <w:t>الكوارث</w:t>
            </w:r>
            <w:r w:rsidRPr="006A6B61">
              <w:t xml:space="preserve"> </w:t>
            </w:r>
            <w:r w:rsidRPr="006A6B61">
              <w:rPr>
                <w:rFonts w:hint="cs"/>
                <w:rtl/>
              </w:rPr>
              <w:t xml:space="preserve"> =</w:t>
            </w:r>
            <w:proofErr w:type="gramEnd"/>
            <w:r w:rsidR="009643E7" w:rsidRPr="006A6B61">
              <w:rPr>
                <w:rFonts w:hint="cs"/>
                <w:rtl/>
              </w:rPr>
              <w:t xml:space="preserve"> </w:t>
            </w:r>
            <w:r w:rsidR="009643E7" w:rsidRPr="00CF4D3E">
              <w:rPr>
                <w:rFonts w:hint="cs"/>
                <w:u w:val="single"/>
                <w:rtl/>
              </w:rPr>
              <w:t xml:space="preserve"> الخطر *</w:t>
            </w:r>
            <w:r w:rsidR="006D149B" w:rsidRPr="00CF4D3E">
              <w:rPr>
                <w:u w:val="single"/>
              </w:rPr>
              <w:t xml:space="preserve"> </w:t>
            </w:r>
            <w:r w:rsidR="00517EFB" w:rsidRPr="00CF4D3E">
              <w:rPr>
                <w:rFonts w:hint="cs"/>
                <w:u w:val="single"/>
                <w:rtl/>
              </w:rPr>
              <w:t xml:space="preserve">مواطن </w:t>
            </w:r>
            <w:r w:rsidR="009643E7" w:rsidRPr="00CF4D3E">
              <w:rPr>
                <w:rFonts w:hint="cs"/>
                <w:u w:val="single"/>
                <w:rtl/>
              </w:rPr>
              <w:t>الضعف</w:t>
            </w:r>
            <w:r w:rsidR="006D149B" w:rsidRPr="00991508">
              <w:br/>
            </w:r>
            <w:r w:rsidR="006D149B" w:rsidRPr="00991508">
              <w:tab/>
            </w:r>
            <w:r w:rsidR="009643E7" w:rsidRPr="00991508">
              <w:rPr>
                <w:rFonts w:hint="cs"/>
                <w:rtl/>
              </w:rPr>
              <w:t>القدرة</w:t>
            </w:r>
          </w:p>
        </w:tc>
      </w:tr>
      <w:tr w:rsidR="00A93E89" w:rsidRPr="00991508" w14:paraId="53B25CD7" w14:textId="77777777" w:rsidTr="006D44B6">
        <w:trPr>
          <w:cantSplit/>
          <w:trHeight w:val="1134"/>
        </w:trPr>
        <w:tc>
          <w:tcPr>
            <w:tcW w:w="4241" w:type="dxa"/>
            <w:shd w:val="clear" w:color="auto" w:fill="auto"/>
            <w:vAlign w:val="center"/>
          </w:tcPr>
          <w:p w14:paraId="2740E96C" w14:textId="0B0359B6" w:rsidR="00A93E89" w:rsidRPr="00991508" w:rsidRDefault="009643E7" w:rsidP="00CF4D3E">
            <w:pPr>
              <w:pStyle w:val="tableheading"/>
              <w:jc w:val="center"/>
              <w:rPr>
                <w:rtl/>
              </w:rPr>
            </w:pPr>
            <w:r w:rsidRPr="00991508">
              <w:rPr>
                <w:rFonts w:hint="cs"/>
                <w:rtl/>
              </w:rPr>
              <w:t>مواطن الضعف وتقييم القدرات</w:t>
            </w:r>
          </w:p>
        </w:tc>
        <w:tc>
          <w:tcPr>
            <w:tcW w:w="5245" w:type="dxa"/>
            <w:shd w:val="clear" w:color="auto" w:fill="auto"/>
            <w:vAlign w:val="center"/>
          </w:tcPr>
          <w:p w14:paraId="00478B29" w14:textId="04207420" w:rsidR="00A93E89" w:rsidRPr="00991508" w:rsidRDefault="009643E7" w:rsidP="00931E05">
            <w:pPr>
              <w:pStyle w:val="table"/>
            </w:pPr>
            <w:r w:rsidRPr="00991508">
              <w:rPr>
                <w:rFonts w:hint="cs"/>
                <w:rtl/>
              </w:rPr>
              <w:t xml:space="preserve">هي </w:t>
            </w:r>
            <w:r w:rsidRPr="00991508">
              <w:rPr>
                <w:rtl/>
              </w:rPr>
              <w:t>عملية لتحديد مواطن الضعف ال</w:t>
            </w:r>
            <w:r w:rsidRPr="00991508">
              <w:rPr>
                <w:rFonts w:hint="cs"/>
                <w:rtl/>
              </w:rPr>
              <w:t>مُ</w:t>
            </w:r>
            <w:r w:rsidRPr="00991508">
              <w:rPr>
                <w:rtl/>
              </w:rPr>
              <w:t>عرض</w:t>
            </w:r>
            <w:r w:rsidRPr="00991508">
              <w:rPr>
                <w:rFonts w:hint="cs"/>
                <w:rtl/>
              </w:rPr>
              <w:t>ة</w:t>
            </w:r>
            <w:r w:rsidRPr="00991508">
              <w:rPr>
                <w:rtl/>
              </w:rPr>
              <w:t xml:space="preserve"> للآثار المدمرة لخطر أو كارثة والقدرات الموجودة التي يمكن استغلالها لتعزيز القدرة على مواجهة ال</w:t>
            </w:r>
            <w:r w:rsidRPr="00991508">
              <w:rPr>
                <w:rFonts w:hint="cs"/>
                <w:rtl/>
              </w:rPr>
              <w:t>أ</w:t>
            </w:r>
            <w:r w:rsidRPr="00991508">
              <w:rPr>
                <w:rtl/>
              </w:rPr>
              <w:t>خطار</w:t>
            </w:r>
            <w:r w:rsidRPr="00991508">
              <w:rPr>
                <w:rFonts w:hint="cs"/>
                <w:rtl/>
              </w:rPr>
              <w:t>.</w:t>
            </w:r>
          </w:p>
        </w:tc>
      </w:tr>
      <w:tr w:rsidR="00A93E89" w:rsidRPr="00991508" w14:paraId="3722EE94" w14:textId="77777777" w:rsidTr="006D44B6">
        <w:trPr>
          <w:cantSplit/>
          <w:trHeight w:val="1134"/>
        </w:trPr>
        <w:tc>
          <w:tcPr>
            <w:tcW w:w="4241" w:type="dxa"/>
            <w:shd w:val="clear" w:color="auto" w:fill="auto"/>
            <w:vAlign w:val="center"/>
          </w:tcPr>
          <w:p w14:paraId="7CA07FBE" w14:textId="0A128893" w:rsidR="00A93E89" w:rsidRPr="00991508" w:rsidRDefault="009643E7" w:rsidP="00CF4D3E">
            <w:pPr>
              <w:pStyle w:val="tableheading"/>
              <w:jc w:val="center"/>
            </w:pPr>
            <w:r w:rsidRPr="00991508">
              <w:rPr>
                <w:rFonts w:hint="cs"/>
                <w:rtl/>
              </w:rPr>
              <w:t>إدارة مخاطر الكوارث</w:t>
            </w:r>
          </w:p>
        </w:tc>
        <w:tc>
          <w:tcPr>
            <w:tcW w:w="5245" w:type="dxa"/>
            <w:shd w:val="clear" w:color="auto" w:fill="auto"/>
            <w:vAlign w:val="center"/>
          </w:tcPr>
          <w:p w14:paraId="040E2368" w14:textId="72DD7346" w:rsidR="009643E7" w:rsidRPr="00991508" w:rsidRDefault="009643E7" w:rsidP="00931E05">
            <w:pPr>
              <w:pStyle w:val="table"/>
              <w:rPr>
                <w:rtl/>
              </w:rPr>
            </w:pPr>
            <w:r w:rsidRPr="00991508">
              <w:rPr>
                <w:rtl/>
              </w:rPr>
              <w:t>عملية منهجية لاستخدام التوجيهات الإدارية وال</w:t>
            </w:r>
            <w:r w:rsidRPr="00991508">
              <w:rPr>
                <w:rFonts w:hint="cs"/>
                <w:rtl/>
              </w:rPr>
              <w:t>ت</w:t>
            </w:r>
            <w:r w:rsidRPr="00991508">
              <w:rPr>
                <w:rtl/>
              </w:rPr>
              <w:t>نظ</w:t>
            </w:r>
            <w:r w:rsidRPr="00991508">
              <w:rPr>
                <w:rFonts w:hint="cs"/>
                <w:rtl/>
              </w:rPr>
              <w:t>ي</w:t>
            </w:r>
            <w:r w:rsidRPr="00991508">
              <w:rPr>
                <w:rtl/>
              </w:rPr>
              <w:t xml:space="preserve">مات، والمهارات العملية والقدرات لتنفيذ استراتيجيات وسياسات وقدرات </w:t>
            </w:r>
            <w:r w:rsidRPr="00991508">
              <w:rPr>
                <w:rFonts w:hint="cs"/>
                <w:rtl/>
              </w:rPr>
              <w:t>محسنة لل</w:t>
            </w:r>
            <w:r w:rsidRPr="00991508">
              <w:rPr>
                <w:rtl/>
              </w:rPr>
              <w:t>ت</w:t>
            </w:r>
            <w:r w:rsidRPr="00991508">
              <w:rPr>
                <w:rFonts w:hint="cs"/>
                <w:rtl/>
              </w:rPr>
              <w:t xml:space="preserve">عامل </w:t>
            </w:r>
            <w:r w:rsidRPr="00991508">
              <w:rPr>
                <w:rtl/>
              </w:rPr>
              <w:t>من أجل التقليل من الآثار السلبية للمخاطر واحتمال الكوارث</w:t>
            </w:r>
            <w:r w:rsidRPr="00991508">
              <w:rPr>
                <w:rFonts w:hint="cs"/>
                <w:rtl/>
              </w:rPr>
              <w:t>.</w:t>
            </w:r>
          </w:p>
          <w:p w14:paraId="345189DF" w14:textId="349C45FB" w:rsidR="00A93E89" w:rsidRPr="00991508" w:rsidRDefault="00A93E89" w:rsidP="00931E05">
            <w:pPr>
              <w:pStyle w:val="table"/>
            </w:pPr>
            <w:r w:rsidRPr="00991508">
              <w:t xml:space="preserve"> (DRR Terminology, UNISDR 2009)</w:t>
            </w:r>
          </w:p>
        </w:tc>
      </w:tr>
      <w:tr w:rsidR="00A93E89" w:rsidRPr="00991508" w14:paraId="6FBAB30C" w14:textId="77777777" w:rsidTr="006D44B6">
        <w:trPr>
          <w:cantSplit/>
          <w:trHeight w:val="1134"/>
        </w:trPr>
        <w:tc>
          <w:tcPr>
            <w:tcW w:w="4241" w:type="dxa"/>
            <w:shd w:val="clear" w:color="auto" w:fill="auto"/>
            <w:vAlign w:val="center"/>
          </w:tcPr>
          <w:p w14:paraId="522770F1" w14:textId="0360F9CE" w:rsidR="00A93E89" w:rsidRPr="00991508" w:rsidRDefault="009643E7" w:rsidP="00CF4D3E">
            <w:pPr>
              <w:pStyle w:val="tableheading"/>
              <w:jc w:val="center"/>
            </w:pPr>
            <w:r w:rsidRPr="00991508">
              <w:rPr>
                <w:rFonts w:hint="cs"/>
                <w:rtl/>
              </w:rPr>
              <w:lastRenderedPageBreak/>
              <w:t>تعزيز القدرة على الثبات</w:t>
            </w:r>
          </w:p>
        </w:tc>
        <w:tc>
          <w:tcPr>
            <w:tcW w:w="5245" w:type="dxa"/>
            <w:shd w:val="clear" w:color="auto" w:fill="auto"/>
            <w:vAlign w:val="center"/>
          </w:tcPr>
          <w:p w14:paraId="4E24AAD6" w14:textId="67A4DE4C" w:rsidR="00A93E89" w:rsidRPr="00991508" w:rsidRDefault="009643E7" w:rsidP="00931E05">
            <w:pPr>
              <w:pStyle w:val="table"/>
            </w:pPr>
            <w:r w:rsidRPr="00991508">
              <w:rPr>
                <w:rFonts w:hint="cs"/>
                <w:rtl/>
              </w:rPr>
              <w:t>تعزيز القدرة على الثبات هي قدرة الأسر والمجتمعات والدول على استيعاب والتعافي من الصدمات، وفي الوقت ذاته التكيف بشكل إيجابي و</w:t>
            </w:r>
            <w:r w:rsidR="00FA36BF" w:rsidRPr="00991508">
              <w:rPr>
                <w:rFonts w:hint="cs"/>
                <w:rtl/>
              </w:rPr>
              <w:t xml:space="preserve">قدرتها على </w:t>
            </w:r>
            <w:r w:rsidRPr="00991508">
              <w:rPr>
                <w:rFonts w:hint="cs"/>
                <w:rtl/>
              </w:rPr>
              <w:t>تحو</w:t>
            </w:r>
            <w:r w:rsidR="00FA36BF" w:rsidRPr="00991508">
              <w:rPr>
                <w:rFonts w:hint="cs"/>
                <w:rtl/>
              </w:rPr>
              <w:t xml:space="preserve">يل هياكلها ووسائلها للعيش في مواجهة الضغوط، والتغير وحالة عدم اليقين على المدى الطويل.  </w:t>
            </w:r>
            <w:r w:rsidR="00A93E89" w:rsidRPr="00991508">
              <w:t xml:space="preserve"> (OECD 2013)</w:t>
            </w:r>
          </w:p>
        </w:tc>
      </w:tr>
      <w:tr w:rsidR="00A93E89" w:rsidRPr="00991508" w14:paraId="5B03C62E" w14:textId="77777777" w:rsidTr="006D44B6">
        <w:trPr>
          <w:cantSplit/>
          <w:trHeight w:val="1134"/>
        </w:trPr>
        <w:tc>
          <w:tcPr>
            <w:tcW w:w="4241" w:type="dxa"/>
            <w:shd w:val="clear" w:color="auto" w:fill="auto"/>
            <w:vAlign w:val="center"/>
          </w:tcPr>
          <w:p w14:paraId="6873D55C" w14:textId="1B8DC555" w:rsidR="00A93E89" w:rsidRPr="00991508" w:rsidRDefault="00FA36BF" w:rsidP="00CF4D3E">
            <w:pPr>
              <w:pStyle w:val="tableheading"/>
              <w:jc w:val="center"/>
            </w:pPr>
            <w:r w:rsidRPr="00991508">
              <w:rPr>
                <w:rFonts w:hint="cs"/>
                <w:rtl/>
              </w:rPr>
              <w:t>القدرة الاستيعابية</w:t>
            </w:r>
          </w:p>
        </w:tc>
        <w:tc>
          <w:tcPr>
            <w:tcW w:w="5245" w:type="dxa"/>
            <w:shd w:val="clear" w:color="auto" w:fill="auto"/>
            <w:vAlign w:val="center"/>
          </w:tcPr>
          <w:p w14:paraId="3ECD09F5" w14:textId="47372579" w:rsidR="00A93E89" w:rsidRPr="00991508" w:rsidRDefault="00FA36BF" w:rsidP="00931E05">
            <w:pPr>
              <w:pStyle w:val="table"/>
            </w:pPr>
            <w:r w:rsidRPr="00991508">
              <w:rPr>
                <w:rtl/>
              </w:rPr>
              <w:t xml:space="preserve">قدرة نظام </w:t>
            </w:r>
            <w:r w:rsidRPr="00991508">
              <w:rPr>
                <w:rFonts w:hint="cs"/>
                <w:rtl/>
              </w:rPr>
              <w:t>ما على ا</w:t>
            </w:r>
            <w:r w:rsidRPr="00991508">
              <w:rPr>
                <w:rtl/>
              </w:rPr>
              <w:t>ل</w:t>
            </w:r>
            <w:r w:rsidRPr="00991508">
              <w:rPr>
                <w:rFonts w:hint="cs"/>
                <w:rtl/>
              </w:rPr>
              <w:t>است</w:t>
            </w:r>
            <w:r w:rsidRPr="00991508">
              <w:rPr>
                <w:rtl/>
              </w:rPr>
              <w:t>عداد</w:t>
            </w:r>
            <w:r w:rsidRPr="00991508">
              <w:rPr>
                <w:rFonts w:hint="cs"/>
                <w:rtl/>
              </w:rPr>
              <w:t xml:space="preserve"> ل</w:t>
            </w:r>
            <w:r w:rsidRPr="00991508">
              <w:rPr>
                <w:rtl/>
              </w:rPr>
              <w:t xml:space="preserve">لأحداث السلبية </w:t>
            </w:r>
            <w:r w:rsidRPr="00991508">
              <w:rPr>
                <w:rFonts w:hint="cs"/>
                <w:rtl/>
              </w:rPr>
              <w:t>و</w:t>
            </w:r>
            <w:r w:rsidRPr="00991508">
              <w:rPr>
                <w:rtl/>
              </w:rPr>
              <w:t xml:space="preserve">تخفيف أو </w:t>
            </w:r>
            <w:r w:rsidRPr="00991508">
              <w:rPr>
                <w:rFonts w:hint="cs"/>
                <w:rtl/>
              </w:rPr>
              <w:t>الوقاية</w:t>
            </w:r>
            <w:r w:rsidRPr="00991508">
              <w:rPr>
                <w:rtl/>
              </w:rPr>
              <w:t xml:space="preserve"> </w:t>
            </w:r>
            <w:r w:rsidRPr="00991508">
              <w:rPr>
                <w:rFonts w:hint="cs"/>
                <w:rtl/>
              </w:rPr>
              <w:t xml:space="preserve">من </w:t>
            </w:r>
            <w:r w:rsidRPr="00991508">
              <w:rPr>
                <w:rtl/>
              </w:rPr>
              <w:t>آثار</w:t>
            </w:r>
            <w:r w:rsidRPr="00991508">
              <w:rPr>
                <w:rFonts w:hint="cs"/>
                <w:rtl/>
              </w:rPr>
              <w:t>ها،</w:t>
            </w:r>
            <w:r w:rsidRPr="00991508">
              <w:rPr>
                <w:rtl/>
              </w:rPr>
              <w:t xml:space="preserve"> </w:t>
            </w:r>
            <w:r w:rsidRPr="00991508">
              <w:rPr>
                <w:rFonts w:hint="cs"/>
                <w:rtl/>
              </w:rPr>
              <w:t>ب</w:t>
            </w:r>
            <w:r w:rsidRPr="00991508">
              <w:rPr>
                <w:rtl/>
              </w:rPr>
              <w:t xml:space="preserve">استخدام </w:t>
            </w:r>
            <w:r w:rsidRPr="00991508">
              <w:rPr>
                <w:rFonts w:hint="cs"/>
                <w:rtl/>
              </w:rPr>
              <w:t xml:space="preserve">طرق </w:t>
            </w:r>
            <w:r w:rsidR="00BC6234" w:rsidRPr="00991508">
              <w:rPr>
                <w:rFonts w:hint="cs"/>
                <w:rtl/>
              </w:rPr>
              <w:t xml:space="preserve">للتأقلم </w:t>
            </w:r>
            <w:r w:rsidRPr="00991508">
              <w:rPr>
                <w:rtl/>
              </w:rPr>
              <w:t xml:space="preserve">محددة سلفا من أجل الحفاظ على الهياكل </w:t>
            </w:r>
            <w:r w:rsidRPr="00991508">
              <w:rPr>
                <w:rFonts w:hint="cs"/>
                <w:rtl/>
              </w:rPr>
              <w:t>والو</w:t>
            </w:r>
            <w:r w:rsidRPr="00991508">
              <w:rPr>
                <w:rtl/>
              </w:rPr>
              <w:t>ظائف الأساسية الضرورية واستعاد</w:t>
            </w:r>
            <w:r w:rsidRPr="00991508">
              <w:rPr>
                <w:rFonts w:hint="cs"/>
                <w:rtl/>
              </w:rPr>
              <w:t xml:space="preserve">تها. </w:t>
            </w:r>
            <w:r w:rsidR="00A93E89" w:rsidRPr="00991508">
              <w:t xml:space="preserve"> (OECD 2013)</w:t>
            </w:r>
          </w:p>
        </w:tc>
      </w:tr>
      <w:tr w:rsidR="00A93E89" w:rsidRPr="00991508" w14:paraId="4C0BAE71" w14:textId="77777777" w:rsidTr="006D44B6">
        <w:trPr>
          <w:cantSplit/>
          <w:trHeight w:val="1134"/>
        </w:trPr>
        <w:tc>
          <w:tcPr>
            <w:tcW w:w="4241" w:type="dxa"/>
            <w:shd w:val="clear" w:color="auto" w:fill="auto"/>
            <w:vAlign w:val="center"/>
          </w:tcPr>
          <w:p w14:paraId="3AD6CC2C" w14:textId="19941217" w:rsidR="00A93E89" w:rsidRPr="00991508" w:rsidRDefault="00FA36BF" w:rsidP="00CF4D3E">
            <w:pPr>
              <w:pStyle w:val="tableheading"/>
              <w:jc w:val="center"/>
            </w:pPr>
            <w:r w:rsidRPr="00991508">
              <w:rPr>
                <w:rFonts w:hint="cs"/>
                <w:rtl/>
              </w:rPr>
              <w:t>القدرة التكيفيّة</w:t>
            </w:r>
          </w:p>
        </w:tc>
        <w:tc>
          <w:tcPr>
            <w:tcW w:w="5245" w:type="dxa"/>
            <w:shd w:val="clear" w:color="auto" w:fill="auto"/>
            <w:vAlign w:val="center"/>
          </w:tcPr>
          <w:p w14:paraId="0B02B893" w14:textId="3F1B928A" w:rsidR="000C5F57" w:rsidRPr="00991508" w:rsidRDefault="000C5F57" w:rsidP="00931E05">
            <w:pPr>
              <w:pStyle w:val="table"/>
              <w:rPr>
                <w:rtl/>
              </w:rPr>
            </w:pPr>
            <w:r w:rsidRPr="00991508">
              <w:rPr>
                <w:rtl/>
              </w:rPr>
              <w:t xml:space="preserve">قدرة نظام </w:t>
            </w:r>
            <w:r w:rsidRPr="00991508">
              <w:rPr>
                <w:rFonts w:hint="cs"/>
                <w:rtl/>
              </w:rPr>
              <w:t>ما على تكييف</w:t>
            </w:r>
            <w:r w:rsidRPr="00991508">
              <w:rPr>
                <w:rtl/>
              </w:rPr>
              <w:t xml:space="preserve"> خصائصه وإجراءات</w:t>
            </w:r>
            <w:r w:rsidRPr="00991508">
              <w:rPr>
                <w:rFonts w:hint="cs"/>
                <w:rtl/>
              </w:rPr>
              <w:t>ه</w:t>
            </w:r>
            <w:r w:rsidRPr="00991508">
              <w:rPr>
                <w:rtl/>
              </w:rPr>
              <w:t xml:space="preserve">، </w:t>
            </w:r>
            <w:r w:rsidRPr="00991508">
              <w:rPr>
                <w:rFonts w:hint="cs"/>
                <w:rtl/>
              </w:rPr>
              <w:t>و</w:t>
            </w:r>
            <w:r w:rsidRPr="00991508">
              <w:rPr>
                <w:rtl/>
              </w:rPr>
              <w:t>تعديل</w:t>
            </w:r>
            <w:r w:rsidRPr="00991508">
              <w:rPr>
                <w:rFonts w:hint="cs"/>
                <w:rtl/>
              </w:rPr>
              <w:t>ها</w:t>
            </w:r>
            <w:r w:rsidRPr="00991508">
              <w:rPr>
                <w:rtl/>
              </w:rPr>
              <w:t xml:space="preserve"> أو تغيير</w:t>
            </w:r>
            <w:r w:rsidRPr="00991508">
              <w:rPr>
                <w:rFonts w:hint="cs"/>
                <w:rtl/>
              </w:rPr>
              <w:t>ها</w:t>
            </w:r>
            <w:r w:rsidRPr="00991508">
              <w:rPr>
                <w:rtl/>
              </w:rPr>
              <w:t xml:space="preserve"> للتخفيف من الأضرار المحتملة والمستقبل</w:t>
            </w:r>
            <w:r w:rsidRPr="00991508">
              <w:rPr>
                <w:rFonts w:hint="cs"/>
                <w:rtl/>
              </w:rPr>
              <w:t>ية</w:t>
            </w:r>
            <w:r w:rsidRPr="00991508">
              <w:rPr>
                <w:rtl/>
              </w:rPr>
              <w:t xml:space="preserve">، والاستفادة من الفرص، من أجل مواصلة </w:t>
            </w:r>
            <w:r w:rsidRPr="00991508">
              <w:rPr>
                <w:rFonts w:hint="cs"/>
                <w:rtl/>
              </w:rPr>
              <w:t>ال</w:t>
            </w:r>
            <w:r w:rsidRPr="00991508">
              <w:rPr>
                <w:rtl/>
              </w:rPr>
              <w:t xml:space="preserve">عمل دون </w:t>
            </w:r>
            <w:r w:rsidRPr="00991508">
              <w:rPr>
                <w:rFonts w:hint="cs"/>
                <w:rtl/>
              </w:rPr>
              <w:t xml:space="preserve">حدوث </w:t>
            </w:r>
            <w:r w:rsidRPr="00991508">
              <w:rPr>
                <w:rtl/>
              </w:rPr>
              <w:t xml:space="preserve">تغييرات نوعية رئيسية في </w:t>
            </w:r>
            <w:r w:rsidRPr="00991508">
              <w:rPr>
                <w:rFonts w:hint="cs"/>
                <w:rtl/>
              </w:rPr>
              <w:t xml:space="preserve">الوظيفة أو </w:t>
            </w:r>
            <w:r w:rsidRPr="00991508">
              <w:rPr>
                <w:rtl/>
              </w:rPr>
              <w:t>الهوية</w:t>
            </w:r>
            <w:r w:rsidRPr="00991508">
              <w:rPr>
                <w:rFonts w:hint="cs"/>
                <w:rtl/>
              </w:rPr>
              <w:t xml:space="preserve"> </w:t>
            </w:r>
            <w:r w:rsidRPr="00991508">
              <w:rPr>
                <w:rtl/>
              </w:rPr>
              <w:t>الهيكلية</w:t>
            </w:r>
            <w:r w:rsidRPr="00991508">
              <w:rPr>
                <w:rFonts w:hint="cs"/>
                <w:rtl/>
              </w:rPr>
              <w:t>.</w:t>
            </w:r>
          </w:p>
          <w:p w14:paraId="5D637851" w14:textId="1FD18F47" w:rsidR="00A93E89" w:rsidRPr="00991508" w:rsidRDefault="00A93E89" w:rsidP="00931E05">
            <w:pPr>
              <w:pStyle w:val="table"/>
            </w:pPr>
            <w:r w:rsidRPr="00991508">
              <w:t xml:space="preserve"> (OECD 2013)</w:t>
            </w:r>
          </w:p>
        </w:tc>
      </w:tr>
      <w:tr w:rsidR="00A93E89" w:rsidRPr="00991508" w14:paraId="6A398A21" w14:textId="77777777" w:rsidTr="006D44B6">
        <w:trPr>
          <w:cantSplit/>
          <w:trHeight w:val="1134"/>
        </w:trPr>
        <w:tc>
          <w:tcPr>
            <w:tcW w:w="4241" w:type="dxa"/>
            <w:shd w:val="clear" w:color="auto" w:fill="auto"/>
            <w:vAlign w:val="center"/>
          </w:tcPr>
          <w:p w14:paraId="620CDD87" w14:textId="73EB7C7E" w:rsidR="00A93E89" w:rsidRPr="00991508" w:rsidRDefault="002F1ED8" w:rsidP="00CF4D3E">
            <w:pPr>
              <w:pStyle w:val="tableheading"/>
              <w:jc w:val="center"/>
            </w:pPr>
            <w:r w:rsidRPr="00991508">
              <w:rPr>
                <w:rFonts w:hint="cs"/>
                <w:rtl/>
              </w:rPr>
              <w:t>القدرة التحويلية</w:t>
            </w:r>
          </w:p>
        </w:tc>
        <w:tc>
          <w:tcPr>
            <w:tcW w:w="5245" w:type="dxa"/>
            <w:shd w:val="clear" w:color="auto" w:fill="auto"/>
            <w:vAlign w:val="center"/>
          </w:tcPr>
          <w:p w14:paraId="492D9726" w14:textId="2561157A" w:rsidR="002F1ED8" w:rsidRPr="00991508" w:rsidRDefault="002F1ED8" w:rsidP="00931E05">
            <w:pPr>
              <w:pStyle w:val="table"/>
              <w:rPr>
                <w:rtl/>
              </w:rPr>
            </w:pPr>
            <w:r w:rsidRPr="00991508">
              <w:rPr>
                <w:rtl/>
              </w:rPr>
              <w:t>القدرة على إنشاء نظام</w:t>
            </w:r>
            <w:r w:rsidRPr="00991508">
              <w:rPr>
                <w:rFonts w:hint="cs"/>
                <w:rtl/>
              </w:rPr>
              <w:t xml:space="preserve"> </w:t>
            </w:r>
            <w:r w:rsidRPr="00991508">
              <w:rPr>
                <w:rtl/>
              </w:rPr>
              <w:t xml:space="preserve">جديد عندما </w:t>
            </w:r>
            <w:r w:rsidRPr="00991508">
              <w:rPr>
                <w:rFonts w:hint="cs"/>
                <w:rtl/>
              </w:rPr>
              <w:t>ت</w:t>
            </w:r>
            <w:r w:rsidRPr="00991508">
              <w:rPr>
                <w:rtl/>
              </w:rPr>
              <w:t xml:space="preserve">جعل الهياكل الإيكولوجية </w:t>
            </w:r>
            <w:r w:rsidRPr="00991508">
              <w:rPr>
                <w:rFonts w:hint="cs"/>
                <w:rtl/>
              </w:rPr>
              <w:t>و</w:t>
            </w:r>
            <w:r w:rsidRPr="00991508">
              <w:rPr>
                <w:rtl/>
              </w:rPr>
              <w:t>الاقتصادية أو الاجتماعية</w:t>
            </w:r>
            <w:r w:rsidRPr="00991508">
              <w:rPr>
                <w:rFonts w:hint="cs"/>
                <w:rtl/>
              </w:rPr>
              <w:t>،</w:t>
            </w:r>
            <w:r w:rsidRPr="00991508">
              <w:rPr>
                <w:rtl/>
              </w:rPr>
              <w:t xml:space="preserve"> النظام القائم </w:t>
            </w:r>
            <w:r w:rsidRPr="00991508">
              <w:rPr>
                <w:rFonts w:hint="cs"/>
                <w:rtl/>
              </w:rPr>
              <w:t>غير قابل للاستمرار.</w:t>
            </w:r>
          </w:p>
          <w:p w14:paraId="0646EE88" w14:textId="1881B85F" w:rsidR="00A93E89" w:rsidRPr="00991508" w:rsidRDefault="00A93E89" w:rsidP="00931E05">
            <w:pPr>
              <w:pStyle w:val="table"/>
            </w:pPr>
            <w:r w:rsidRPr="00991508">
              <w:t xml:space="preserve"> (OECD 2013)</w:t>
            </w:r>
          </w:p>
        </w:tc>
      </w:tr>
    </w:tbl>
    <w:p w14:paraId="39D9B08A" w14:textId="77777777" w:rsidR="00CF4D3E" w:rsidRDefault="00CF4D3E" w:rsidP="00931E05">
      <w:pPr>
        <w:pStyle w:val="Heading3"/>
        <w:rPr>
          <w:rtl/>
        </w:rPr>
      </w:pPr>
      <w:r>
        <w:rPr>
          <w:rtl/>
        </w:rPr>
        <w:br w:type="page"/>
      </w:r>
    </w:p>
    <w:p w14:paraId="3C751311" w14:textId="69B758E1" w:rsidR="00A93E89" w:rsidRPr="00991508" w:rsidRDefault="002C721A" w:rsidP="00CF4D3E">
      <w:pPr>
        <w:pStyle w:val="Heading3"/>
        <w:spacing w:after="120"/>
      </w:pPr>
      <w:r w:rsidRPr="00991508">
        <w:rPr>
          <w:rtl/>
        </w:rPr>
        <w:lastRenderedPageBreak/>
        <w:t>إرشادات لكل فريق حول كيفية إيجاد المعلومات في الدليل</w:t>
      </w:r>
    </w:p>
    <w:tbl>
      <w:tblPr>
        <w:bidiVisual/>
        <w:tblW w:w="0" w:type="auto"/>
        <w:tblBorders>
          <w:top w:val="dashed" w:sz="4" w:space="0" w:color="579305" w:themeColor="accent1"/>
          <w:left w:val="dashed" w:sz="4" w:space="0" w:color="579305" w:themeColor="accent1"/>
          <w:bottom w:val="dashed" w:sz="4" w:space="0" w:color="579305" w:themeColor="accent1"/>
          <w:right w:val="dashed" w:sz="4" w:space="0" w:color="579305" w:themeColor="accent1"/>
          <w:insideH w:val="dashed" w:sz="4" w:space="0" w:color="579305" w:themeColor="accent1"/>
          <w:insideV w:val="dashed" w:sz="4" w:space="0" w:color="579305" w:themeColor="accent1"/>
        </w:tblBorders>
        <w:tblLook w:val="04A0" w:firstRow="1" w:lastRow="0" w:firstColumn="1" w:lastColumn="0" w:noHBand="0" w:noVBand="1"/>
      </w:tblPr>
      <w:tblGrid>
        <w:gridCol w:w="1747"/>
        <w:gridCol w:w="7655"/>
      </w:tblGrid>
      <w:tr w:rsidR="00C7602D" w:rsidRPr="00991508" w14:paraId="3B2735AB" w14:textId="77777777" w:rsidTr="0069635D">
        <w:trPr>
          <w:cantSplit/>
          <w:tblHeader/>
        </w:trPr>
        <w:tc>
          <w:tcPr>
            <w:tcW w:w="1747" w:type="dxa"/>
            <w:shd w:val="clear" w:color="auto" w:fill="E9F7CB"/>
          </w:tcPr>
          <w:p w14:paraId="72694F69" w14:textId="441BE043" w:rsidR="006D149B" w:rsidRPr="00991508" w:rsidRDefault="002C721A" w:rsidP="00CF4D3E">
            <w:pPr>
              <w:pStyle w:val="tableheading"/>
              <w:jc w:val="center"/>
              <w:rPr>
                <w:rtl/>
              </w:rPr>
            </w:pPr>
            <w:r w:rsidRPr="00991508">
              <w:rPr>
                <w:rFonts w:hint="cs"/>
                <w:rtl/>
              </w:rPr>
              <w:t>الفريق</w:t>
            </w:r>
          </w:p>
        </w:tc>
        <w:tc>
          <w:tcPr>
            <w:tcW w:w="7655" w:type="dxa"/>
            <w:shd w:val="clear" w:color="auto" w:fill="E9F7CB"/>
          </w:tcPr>
          <w:p w14:paraId="4D185FFC" w14:textId="4D2E7E86" w:rsidR="006D149B" w:rsidRPr="00991508" w:rsidRDefault="00A842B5" w:rsidP="00931E05">
            <w:pPr>
              <w:pStyle w:val="tableheading"/>
            </w:pPr>
            <w:r w:rsidRPr="00991508">
              <w:rPr>
                <w:rFonts w:hint="cs"/>
                <w:rtl/>
              </w:rPr>
              <w:t>المرجع</w:t>
            </w:r>
          </w:p>
        </w:tc>
      </w:tr>
      <w:tr w:rsidR="006D149B" w:rsidRPr="00991508" w14:paraId="6B739944" w14:textId="77777777" w:rsidTr="0069635D">
        <w:trPr>
          <w:cantSplit/>
        </w:trPr>
        <w:tc>
          <w:tcPr>
            <w:tcW w:w="1747" w:type="dxa"/>
            <w:shd w:val="clear" w:color="auto" w:fill="auto"/>
            <w:vAlign w:val="center"/>
          </w:tcPr>
          <w:p w14:paraId="6A42A2E8" w14:textId="5FDADCB8" w:rsidR="006D149B" w:rsidRPr="00991508" w:rsidRDefault="00A842B5" w:rsidP="00CF4D3E">
            <w:pPr>
              <w:pStyle w:val="tableheading"/>
              <w:jc w:val="center"/>
              <w:rPr>
                <w:rtl/>
              </w:rPr>
            </w:pPr>
            <w:r w:rsidRPr="00991508">
              <w:rPr>
                <w:rFonts w:hint="cs"/>
                <w:rtl/>
              </w:rPr>
              <w:t>الحد من الكوارث و</w:t>
            </w:r>
            <w:r w:rsidR="00003C01" w:rsidRPr="00991508">
              <w:rPr>
                <w:rFonts w:hint="cs"/>
                <w:rtl/>
              </w:rPr>
              <w:t>الوقاية منها</w:t>
            </w:r>
          </w:p>
        </w:tc>
        <w:tc>
          <w:tcPr>
            <w:tcW w:w="7655" w:type="dxa"/>
            <w:shd w:val="clear" w:color="auto" w:fill="auto"/>
            <w:vAlign w:val="center"/>
          </w:tcPr>
          <w:p w14:paraId="0BB8B7AB" w14:textId="0F217689" w:rsidR="00A842B5" w:rsidRPr="00991508" w:rsidRDefault="00A842B5" w:rsidP="00522EAB">
            <w:pPr>
              <w:pStyle w:val="table"/>
              <w:rPr>
                <w:rtl/>
              </w:rPr>
            </w:pPr>
            <w:r w:rsidRPr="00991508">
              <w:rPr>
                <w:rFonts w:hint="cs"/>
                <w:rtl/>
              </w:rPr>
              <w:t xml:space="preserve">أمثلة على كيف </w:t>
            </w:r>
            <w:r w:rsidR="00522EAB">
              <w:rPr>
                <w:rFonts w:hint="cs"/>
                <w:rtl/>
              </w:rPr>
              <w:t xml:space="preserve">أن </w:t>
            </w:r>
            <w:r w:rsidRPr="00991508">
              <w:rPr>
                <w:rFonts w:hint="cs"/>
                <w:rtl/>
              </w:rPr>
              <w:t xml:space="preserve">دليل اسفير </w:t>
            </w:r>
            <w:r w:rsidR="00522EAB" w:rsidRPr="00991508">
              <w:rPr>
                <w:rFonts w:hint="cs"/>
                <w:rtl/>
              </w:rPr>
              <w:t xml:space="preserve">يوفر </w:t>
            </w:r>
            <w:r w:rsidRPr="00991508">
              <w:rPr>
                <w:rFonts w:hint="cs"/>
                <w:rtl/>
              </w:rPr>
              <w:t>إرشادات بشأن الحد من الكوارث والوقاية منها:</w:t>
            </w:r>
          </w:p>
          <w:p w14:paraId="65E46034" w14:textId="4B75208D" w:rsidR="00A842B5" w:rsidRPr="00991508" w:rsidRDefault="00A842B5" w:rsidP="00CF4D3E">
            <w:pPr>
              <w:pStyle w:val="tablebullet"/>
            </w:pPr>
            <w:r w:rsidRPr="00991508">
              <w:rPr>
                <w:rFonts w:hint="cs"/>
                <w:rtl/>
              </w:rPr>
              <w:t>الميثاق الإنساني، ص. 18</w:t>
            </w:r>
          </w:p>
          <w:p w14:paraId="676EA0D4" w14:textId="74A8C9B0" w:rsidR="00A842B5" w:rsidRPr="00991508" w:rsidRDefault="00003C01" w:rsidP="00CF4D3E">
            <w:pPr>
              <w:pStyle w:val="tablebullet"/>
            </w:pPr>
            <w:r w:rsidRPr="00991508">
              <w:rPr>
                <w:rFonts w:hint="cs"/>
                <w:rtl/>
              </w:rPr>
              <w:t>مبادئ الحماية، رقم 1 ورقم</w:t>
            </w:r>
            <w:r w:rsidR="003F24DC" w:rsidRPr="00991508">
              <w:rPr>
                <w:rFonts w:hint="cs"/>
                <w:rtl/>
              </w:rPr>
              <w:t xml:space="preserve"> </w:t>
            </w:r>
            <w:r w:rsidRPr="00991508">
              <w:rPr>
                <w:rFonts w:hint="cs"/>
                <w:rtl/>
              </w:rPr>
              <w:t>3</w:t>
            </w:r>
          </w:p>
          <w:p w14:paraId="7A6FF86D" w14:textId="7AA9165F" w:rsidR="00003C01" w:rsidRPr="00991508" w:rsidRDefault="00003C01" w:rsidP="00CF4D3E">
            <w:pPr>
              <w:pStyle w:val="tablebullet"/>
            </w:pPr>
            <w:r w:rsidRPr="00991508">
              <w:rPr>
                <w:rFonts w:hint="cs"/>
                <w:rtl/>
              </w:rPr>
              <w:t>المواضيع المتشعبة، "الحد من مخاطر الكوارث"، ص. 13</w:t>
            </w:r>
          </w:p>
          <w:p w14:paraId="43CC2D01" w14:textId="3A709957" w:rsidR="00003C01" w:rsidRPr="00991508" w:rsidRDefault="003F24DC" w:rsidP="00CF4D3E">
            <w:pPr>
              <w:pStyle w:val="tablebullet"/>
            </w:pPr>
            <w:r w:rsidRPr="00991508">
              <w:rPr>
                <w:rFonts w:hint="cs"/>
                <w:rtl/>
              </w:rPr>
              <w:t xml:space="preserve"> الفصول الفنية: الإمداد بالماء والإصحاح والنهوض بالنظافة، ص. 83، والملاحظة الإرشادية رقم 4، ص. 93، ومعيار مكافحة نواقل الأمراض رقم 1، ص. 107</w:t>
            </w:r>
          </w:p>
          <w:p w14:paraId="190838B1" w14:textId="213C92F6" w:rsidR="006D149B" w:rsidRPr="00991508" w:rsidRDefault="003F24DC" w:rsidP="00CF4D3E">
            <w:pPr>
              <w:pStyle w:val="tablebullet"/>
            </w:pPr>
            <w:r w:rsidRPr="00991508">
              <w:rPr>
                <w:rFonts w:hint="cs"/>
                <w:rtl/>
              </w:rPr>
              <w:t>التغذية، ص. 165</w:t>
            </w:r>
          </w:p>
        </w:tc>
      </w:tr>
      <w:tr w:rsidR="006D149B" w:rsidRPr="00991508" w14:paraId="49A7EEE0" w14:textId="77777777" w:rsidTr="0069635D">
        <w:trPr>
          <w:cantSplit/>
        </w:trPr>
        <w:tc>
          <w:tcPr>
            <w:tcW w:w="1747" w:type="dxa"/>
            <w:shd w:val="clear" w:color="auto" w:fill="auto"/>
            <w:vAlign w:val="center"/>
          </w:tcPr>
          <w:p w14:paraId="4CCBC408" w14:textId="0AE747D3" w:rsidR="006D149B" w:rsidRPr="00991508" w:rsidRDefault="00A842B5" w:rsidP="00CF4D3E">
            <w:pPr>
              <w:pStyle w:val="tableheading"/>
              <w:jc w:val="center"/>
            </w:pPr>
            <w:r w:rsidRPr="00991508">
              <w:rPr>
                <w:rFonts w:hint="cs"/>
                <w:rtl/>
              </w:rPr>
              <w:t>التأهب</w:t>
            </w:r>
          </w:p>
        </w:tc>
        <w:tc>
          <w:tcPr>
            <w:tcW w:w="7655" w:type="dxa"/>
            <w:shd w:val="clear" w:color="auto" w:fill="auto"/>
            <w:vAlign w:val="center"/>
          </w:tcPr>
          <w:p w14:paraId="7D80EEA7" w14:textId="1F822B03" w:rsidR="003F24DC" w:rsidRPr="00991508" w:rsidRDefault="00597D70" w:rsidP="006A6B61">
            <w:pPr>
              <w:pStyle w:val="tablebullet"/>
            </w:pPr>
            <w:r w:rsidRPr="00991508">
              <w:rPr>
                <w:rFonts w:hint="cs"/>
                <w:rtl/>
              </w:rPr>
              <w:t>ص 5 و10 من المقدمة</w:t>
            </w:r>
          </w:p>
          <w:p w14:paraId="5FB8CB09" w14:textId="6B386C69" w:rsidR="00597D70" w:rsidRPr="00991508" w:rsidRDefault="00597D70" w:rsidP="006A6B61">
            <w:pPr>
              <w:pStyle w:val="tablebullet"/>
            </w:pPr>
            <w:r w:rsidRPr="00991508">
              <w:rPr>
                <w:rFonts w:hint="cs"/>
                <w:rtl/>
              </w:rPr>
              <w:t>المواضيع المتشعبة، الحد من مخاطر الكوارث ص.13</w:t>
            </w:r>
          </w:p>
          <w:p w14:paraId="6EA3EEAE" w14:textId="15AD474D" w:rsidR="00597D70" w:rsidRPr="00991508" w:rsidRDefault="00597D70" w:rsidP="006A6B61">
            <w:pPr>
              <w:pStyle w:val="tablebullet"/>
            </w:pPr>
            <w:r w:rsidRPr="00991508">
              <w:rPr>
                <w:rFonts w:hint="cs"/>
                <w:rtl/>
              </w:rPr>
              <w:t>مواطن الضعف، ص. 50</w:t>
            </w:r>
          </w:p>
          <w:p w14:paraId="339507C6" w14:textId="2A975F5C" w:rsidR="00597D70" w:rsidRPr="00991508" w:rsidRDefault="00597D70" w:rsidP="006A6B61">
            <w:pPr>
              <w:pStyle w:val="tablebullet"/>
            </w:pPr>
            <w:r w:rsidRPr="00991508">
              <w:rPr>
                <w:rFonts w:hint="cs"/>
                <w:rtl/>
              </w:rPr>
              <w:t>المعيار الأساسي رقم 3: التقدير، ص، 57، والمعيار الأساسي رقم 4: التصميم والاستجابة، ص.61، والمعيار الأساسي رقم 6: الأداء العاملين في مجال المعونة، ص. 67</w:t>
            </w:r>
          </w:p>
          <w:p w14:paraId="0C32212B" w14:textId="79C955DF" w:rsidR="00597D70" w:rsidRPr="00991508" w:rsidRDefault="00DE04F5" w:rsidP="006A6B61">
            <w:pPr>
              <w:pStyle w:val="tablebullet"/>
            </w:pPr>
            <w:r w:rsidRPr="00991508">
              <w:rPr>
                <w:rFonts w:hint="cs"/>
                <w:rtl/>
              </w:rPr>
              <w:t xml:space="preserve">مكرر في مقدمة </w:t>
            </w:r>
            <w:r w:rsidR="00597D70" w:rsidRPr="00991508">
              <w:rPr>
                <w:rFonts w:hint="cs"/>
                <w:rtl/>
              </w:rPr>
              <w:t xml:space="preserve">كل فصل </w:t>
            </w:r>
            <w:proofErr w:type="gramStart"/>
            <w:r w:rsidR="00597D70" w:rsidRPr="00991508">
              <w:rPr>
                <w:rFonts w:hint="cs"/>
                <w:rtl/>
              </w:rPr>
              <w:t>فني</w:t>
            </w:r>
            <w:proofErr w:type="gramEnd"/>
            <w:r w:rsidR="00EF7E0A" w:rsidRPr="00991508">
              <w:rPr>
                <w:rFonts w:hint="cs"/>
                <w:rtl/>
              </w:rPr>
              <w:t>، ص، 79 و 84</w:t>
            </w:r>
            <w:r w:rsidR="00597D70" w:rsidRPr="00991508">
              <w:rPr>
                <w:rFonts w:hint="cs"/>
                <w:rtl/>
              </w:rPr>
              <w:t>.</w:t>
            </w:r>
          </w:p>
          <w:p w14:paraId="681A07BE" w14:textId="0CC4BFB8" w:rsidR="006D149B" w:rsidRPr="00991508" w:rsidRDefault="00597D70" w:rsidP="006A6B61">
            <w:pPr>
              <w:pStyle w:val="tablebullet"/>
            </w:pPr>
            <w:r w:rsidRPr="00991508">
              <w:rPr>
                <w:rFonts w:hint="cs"/>
                <w:rtl/>
              </w:rPr>
              <w:t>الصحة</w:t>
            </w:r>
            <w:r w:rsidR="00EF7E0A" w:rsidRPr="00991508">
              <w:rPr>
                <w:rFonts w:hint="cs"/>
                <w:rtl/>
              </w:rPr>
              <w:t>، ص. 301.</w:t>
            </w:r>
          </w:p>
        </w:tc>
      </w:tr>
      <w:tr w:rsidR="006D149B" w:rsidRPr="00991508" w14:paraId="2E755880" w14:textId="77777777" w:rsidTr="0069635D">
        <w:trPr>
          <w:cantSplit/>
        </w:trPr>
        <w:tc>
          <w:tcPr>
            <w:tcW w:w="1747" w:type="dxa"/>
            <w:shd w:val="clear" w:color="auto" w:fill="auto"/>
            <w:vAlign w:val="center"/>
          </w:tcPr>
          <w:p w14:paraId="4A83D29A" w14:textId="31D42B41" w:rsidR="006D149B" w:rsidRPr="00991508" w:rsidRDefault="00A842B5" w:rsidP="00CF4D3E">
            <w:pPr>
              <w:pStyle w:val="tableheading"/>
              <w:jc w:val="center"/>
            </w:pPr>
            <w:r w:rsidRPr="00991508">
              <w:rPr>
                <w:rFonts w:hint="cs"/>
                <w:rtl/>
              </w:rPr>
              <w:t>التنبؤ والإنذار المبكر</w:t>
            </w:r>
          </w:p>
        </w:tc>
        <w:tc>
          <w:tcPr>
            <w:tcW w:w="7655" w:type="dxa"/>
            <w:shd w:val="clear" w:color="auto" w:fill="auto"/>
            <w:vAlign w:val="center"/>
          </w:tcPr>
          <w:p w14:paraId="2BDEBC90" w14:textId="26ABFD11" w:rsidR="00DE04F5" w:rsidRPr="00991508" w:rsidRDefault="00DE04F5" w:rsidP="006A6B61">
            <w:pPr>
              <w:pStyle w:val="tablebullet"/>
            </w:pPr>
            <w:r w:rsidRPr="00991508">
              <w:rPr>
                <w:rFonts w:hint="cs"/>
                <w:rtl/>
              </w:rPr>
              <w:t>المعيار الأساسي رقم 3: التقدير، ص، 57، والمعيار الأساسي رقم 4: التصميم والاستجابة، ص.61</w:t>
            </w:r>
          </w:p>
          <w:p w14:paraId="2F183517" w14:textId="350B05F3" w:rsidR="00DE04F5" w:rsidRPr="00991508" w:rsidRDefault="00DE04F5" w:rsidP="006A6B61">
            <w:pPr>
              <w:pStyle w:val="tablebullet"/>
            </w:pPr>
            <w:r w:rsidRPr="00991508">
              <w:rPr>
                <w:rFonts w:hint="cs"/>
                <w:rtl/>
              </w:rPr>
              <w:t xml:space="preserve">ص. 79 الفصل الفني، الإمداد بالماء والإصحاح والنهوض بالنظافة، مكرر في مقدمة كل فصل فني. </w:t>
            </w:r>
          </w:p>
          <w:p w14:paraId="500C5361" w14:textId="593C0321" w:rsidR="006D149B" w:rsidRPr="00991508" w:rsidRDefault="00DE04F5" w:rsidP="006A6B61">
            <w:pPr>
              <w:pStyle w:val="tablebullet"/>
            </w:pPr>
            <w:r w:rsidRPr="00991508">
              <w:rPr>
                <w:rFonts w:hint="cs"/>
                <w:rtl/>
              </w:rPr>
              <w:t>الأمن الغذائي، ص.146، الملاحظة الإرشادية رقم 1، ص. 148</w:t>
            </w:r>
          </w:p>
          <w:p w14:paraId="6E50E692" w14:textId="0D20A569" w:rsidR="00DE04F5" w:rsidRPr="00991508" w:rsidRDefault="009D0B27" w:rsidP="006A6B61">
            <w:pPr>
              <w:pStyle w:val="tablebullet"/>
            </w:pPr>
            <w:r w:rsidRPr="00991508">
              <w:rPr>
                <w:rFonts w:hint="cs"/>
                <w:rtl/>
              </w:rPr>
              <w:t>إدارة معلومات الصحة، ص. 290</w:t>
            </w:r>
          </w:p>
          <w:p w14:paraId="1754E22B" w14:textId="0AD00732" w:rsidR="006D149B" w:rsidRPr="00991508" w:rsidRDefault="009D0B27" w:rsidP="006A6B61">
            <w:pPr>
              <w:pStyle w:val="tablebullet"/>
            </w:pPr>
            <w:r w:rsidRPr="00991508">
              <w:rPr>
                <w:rFonts w:hint="cs"/>
                <w:rtl/>
              </w:rPr>
              <w:t>الملاحظة الإرشادية بشأن الإنذار المبكر للكشف عن تفشي الأمراض الوبائية، ص. 302</w:t>
            </w:r>
          </w:p>
        </w:tc>
      </w:tr>
      <w:tr w:rsidR="006D149B" w:rsidRPr="00991508" w14:paraId="636C33D3" w14:textId="77777777" w:rsidTr="0069635D">
        <w:trPr>
          <w:cantSplit/>
        </w:trPr>
        <w:tc>
          <w:tcPr>
            <w:tcW w:w="1747" w:type="dxa"/>
            <w:shd w:val="clear" w:color="auto" w:fill="auto"/>
            <w:vAlign w:val="center"/>
          </w:tcPr>
          <w:p w14:paraId="66D0E7E9" w14:textId="2F09B515" w:rsidR="006D149B" w:rsidRPr="00991508" w:rsidRDefault="00A842B5" w:rsidP="00CF4D3E">
            <w:pPr>
              <w:pStyle w:val="tableheading"/>
              <w:jc w:val="center"/>
              <w:rPr>
                <w:rtl/>
              </w:rPr>
            </w:pPr>
            <w:r w:rsidRPr="00991508">
              <w:rPr>
                <w:rFonts w:hint="cs"/>
                <w:rtl/>
              </w:rPr>
              <w:t>تقييم الأثر</w:t>
            </w:r>
          </w:p>
        </w:tc>
        <w:tc>
          <w:tcPr>
            <w:tcW w:w="7655" w:type="dxa"/>
            <w:shd w:val="clear" w:color="auto" w:fill="auto"/>
            <w:vAlign w:val="center"/>
          </w:tcPr>
          <w:p w14:paraId="775DC56F" w14:textId="5947569A" w:rsidR="006D149B" w:rsidRPr="00991508" w:rsidRDefault="009D0B27" w:rsidP="006A6B61">
            <w:pPr>
              <w:pStyle w:val="tablebullet"/>
            </w:pPr>
            <w:r w:rsidRPr="00991508">
              <w:rPr>
                <w:rFonts w:hint="cs"/>
                <w:rtl/>
              </w:rPr>
              <w:t>اسفير للتقييم</w:t>
            </w:r>
          </w:p>
        </w:tc>
      </w:tr>
      <w:tr w:rsidR="006D149B" w:rsidRPr="00991508" w14:paraId="4E955E97" w14:textId="77777777" w:rsidTr="0069635D">
        <w:trPr>
          <w:cantSplit/>
        </w:trPr>
        <w:tc>
          <w:tcPr>
            <w:tcW w:w="1747" w:type="dxa"/>
            <w:shd w:val="clear" w:color="auto" w:fill="auto"/>
            <w:vAlign w:val="center"/>
          </w:tcPr>
          <w:p w14:paraId="490D1346" w14:textId="3FC1A64F" w:rsidR="006D149B" w:rsidRPr="00991508" w:rsidRDefault="00A842B5" w:rsidP="00CF4D3E">
            <w:pPr>
              <w:pStyle w:val="tableheading"/>
              <w:jc w:val="center"/>
            </w:pPr>
            <w:r w:rsidRPr="00991508">
              <w:rPr>
                <w:rFonts w:hint="cs"/>
                <w:rtl/>
              </w:rPr>
              <w:t>الاستجابة</w:t>
            </w:r>
          </w:p>
        </w:tc>
        <w:tc>
          <w:tcPr>
            <w:tcW w:w="7655" w:type="dxa"/>
            <w:shd w:val="clear" w:color="auto" w:fill="auto"/>
            <w:vAlign w:val="center"/>
          </w:tcPr>
          <w:p w14:paraId="20D232AE" w14:textId="7E7160A1" w:rsidR="009D0B27" w:rsidRPr="00991508" w:rsidRDefault="009D0B27" w:rsidP="006A6B61">
            <w:pPr>
              <w:pStyle w:val="tablebullet"/>
            </w:pPr>
            <w:r w:rsidRPr="00991508">
              <w:rPr>
                <w:rFonts w:hint="cs"/>
                <w:rtl/>
              </w:rPr>
              <w:t>عنوان الدليل</w:t>
            </w:r>
          </w:p>
          <w:p w14:paraId="17485FF1" w14:textId="51B89FCF" w:rsidR="006D149B" w:rsidRPr="00991508" w:rsidRDefault="009D0B27" w:rsidP="006A6B61">
            <w:pPr>
              <w:pStyle w:val="tablebullet"/>
            </w:pPr>
            <w:r w:rsidRPr="00991508">
              <w:rPr>
                <w:rFonts w:hint="cs"/>
                <w:rtl/>
              </w:rPr>
              <w:t>ابحث في الفصل "ما هو اسفير؟" الذي يبرز أجزاء مختلفة من دليل اسفير وتأكد مما إذا كان كل جزء يشير إلى استخدام دليل اسفير لعملية "الاستجابة". اختر بضع أمثلة من الأجزاء المختلفة من الدليل.</w:t>
            </w:r>
          </w:p>
        </w:tc>
      </w:tr>
      <w:tr w:rsidR="006D149B" w:rsidRPr="00991508" w14:paraId="0B64BD4C" w14:textId="77777777" w:rsidTr="0069635D">
        <w:trPr>
          <w:cantSplit/>
        </w:trPr>
        <w:tc>
          <w:tcPr>
            <w:tcW w:w="1747" w:type="dxa"/>
            <w:shd w:val="clear" w:color="auto" w:fill="auto"/>
            <w:vAlign w:val="center"/>
          </w:tcPr>
          <w:p w14:paraId="535AAFFB" w14:textId="723DA72E" w:rsidR="006D149B" w:rsidRPr="00991508" w:rsidRDefault="00A842B5" w:rsidP="00CF4D3E">
            <w:pPr>
              <w:pStyle w:val="tableheading"/>
              <w:jc w:val="center"/>
            </w:pPr>
            <w:r w:rsidRPr="00991508">
              <w:rPr>
                <w:rFonts w:hint="cs"/>
                <w:rtl/>
              </w:rPr>
              <w:t>الانتعاش وإعادة البناء</w:t>
            </w:r>
          </w:p>
        </w:tc>
        <w:tc>
          <w:tcPr>
            <w:tcW w:w="7655" w:type="dxa"/>
            <w:shd w:val="clear" w:color="auto" w:fill="auto"/>
            <w:vAlign w:val="center"/>
          </w:tcPr>
          <w:p w14:paraId="558A4AF9" w14:textId="2C53F727" w:rsidR="009D0B27" w:rsidRPr="00991508" w:rsidRDefault="009D0B27" w:rsidP="006A6B61">
            <w:pPr>
              <w:pStyle w:val="tablebullet"/>
            </w:pPr>
            <w:r w:rsidRPr="00991508">
              <w:rPr>
                <w:rFonts w:hint="cs"/>
                <w:rtl/>
              </w:rPr>
              <w:t>المقدمة، ص. 9</w:t>
            </w:r>
          </w:p>
          <w:p w14:paraId="79C85F84" w14:textId="45E7B7BD" w:rsidR="009D0B27" w:rsidRPr="00991508" w:rsidRDefault="009D0B27" w:rsidP="006A6B61">
            <w:pPr>
              <w:pStyle w:val="tablebullet"/>
            </w:pPr>
            <w:r w:rsidRPr="00991508">
              <w:rPr>
                <w:rFonts w:hint="cs"/>
                <w:rtl/>
              </w:rPr>
              <w:t>الإنذار المبكر والحد من المخاطر، ص. 63</w:t>
            </w:r>
          </w:p>
          <w:p w14:paraId="30035871" w14:textId="32E95AC3" w:rsidR="006D149B" w:rsidRPr="00991508" w:rsidRDefault="00427BAB" w:rsidP="006A6B61">
            <w:pPr>
              <w:pStyle w:val="tablebullet"/>
            </w:pPr>
            <w:r w:rsidRPr="00991508">
              <w:rPr>
                <w:rFonts w:hint="cs"/>
                <w:rtl/>
              </w:rPr>
              <w:t>مواطن الضعف،</w:t>
            </w:r>
            <w:r w:rsidR="009D0B27" w:rsidRPr="00991508">
              <w:rPr>
                <w:rFonts w:hint="cs"/>
                <w:rtl/>
              </w:rPr>
              <w:t xml:space="preserve"> ص. 50</w:t>
            </w:r>
            <w:bookmarkStart w:id="0" w:name="_GoBack"/>
            <w:bookmarkEnd w:id="0"/>
          </w:p>
        </w:tc>
      </w:tr>
    </w:tbl>
    <w:p w14:paraId="32BEC2B5" w14:textId="17054B29" w:rsidR="006D149B" w:rsidRPr="00991508" w:rsidRDefault="006D149B" w:rsidP="00991508"/>
    <w:sectPr w:rsidR="006D149B" w:rsidRPr="00991508" w:rsidSect="00991508">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418" w:right="1247" w:bottom="851" w:left="1247" w:header="709" w:footer="45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F7C2F6" w14:textId="77777777" w:rsidR="005F35E7" w:rsidRDefault="005F35E7" w:rsidP="002848CC">
      <w:pPr>
        <w:spacing w:before="0"/>
      </w:pPr>
      <w:r>
        <w:separator/>
      </w:r>
    </w:p>
  </w:endnote>
  <w:endnote w:type="continuationSeparator" w:id="0">
    <w:p w14:paraId="071C3FFB" w14:textId="77777777" w:rsidR="005F35E7" w:rsidRDefault="005F35E7"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68DCFE" w14:textId="77777777" w:rsidR="00020540" w:rsidRPr="004F1D9A" w:rsidRDefault="00020540" w:rsidP="00F51600">
    <w:r w:rsidRPr="00F97BB3">
      <w:t>Module B3: Sphere, Disaster Risk Reduction/Management and resilience. Sphere Training Package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A76AB" w14:textId="77777777" w:rsidR="00E00BDE" w:rsidRPr="005F1A32" w:rsidRDefault="00E00BDE" w:rsidP="00E00BDE">
    <w:pPr>
      <w:pStyle w:val="Footer"/>
      <w:rPr>
        <w:sz w:val="22"/>
        <w:szCs w:val="24"/>
      </w:rPr>
    </w:pPr>
    <w:r w:rsidRPr="005F1A32">
      <w:rPr>
        <w:sz w:val="22"/>
        <w:szCs w:val="24"/>
        <w:rtl/>
      </w:rPr>
      <w:t>الجزء "ب"</w:t>
    </w:r>
    <w:r w:rsidRPr="005F1A32">
      <w:rPr>
        <w:rFonts w:hint="cs"/>
        <w:sz w:val="22"/>
        <w:szCs w:val="24"/>
        <w:rtl/>
      </w:rPr>
      <w:t xml:space="preserve"> </w:t>
    </w:r>
    <w:r w:rsidRPr="005F1A32">
      <w:rPr>
        <w:sz w:val="22"/>
        <w:szCs w:val="24"/>
        <w:rtl/>
      </w:rPr>
      <w:t xml:space="preserve">3: </w:t>
    </w:r>
    <w:proofErr w:type="spellStart"/>
    <w:r w:rsidRPr="005F1A32">
      <w:rPr>
        <w:sz w:val="22"/>
        <w:szCs w:val="24"/>
        <w:rtl/>
      </w:rPr>
      <w:t>اسفير</w:t>
    </w:r>
    <w:proofErr w:type="spellEnd"/>
    <w:r w:rsidRPr="005F1A32">
      <w:rPr>
        <w:sz w:val="22"/>
        <w:szCs w:val="24"/>
        <w:rtl/>
      </w:rPr>
      <w:t xml:space="preserve"> والحد من</w:t>
    </w:r>
    <w:r w:rsidRPr="005F1A32">
      <w:rPr>
        <w:rFonts w:hint="cs"/>
        <w:sz w:val="22"/>
        <w:szCs w:val="24"/>
        <w:rtl/>
      </w:rPr>
      <w:t xml:space="preserve"> </w:t>
    </w:r>
    <w:r w:rsidRPr="005F1A32">
      <w:rPr>
        <w:sz w:val="22"/>
        <w:szCs w:val="24"/>
        <w:rtl/>
      </w:rPr>
      <w:t>إدارة مخاطر الكوارث و</w:t>
    </w:r>
    <w:r w:rsidRPr="005F1A32">
      <w:rPr>
        <w:rFonts w:hint="cs"/>
        <w:sz w:val="22"/>
        <w:szCs w:val="24"/>
        <w:rtl/>
      </w:rPr>
      <w:t xml:space="preserve">تعزيز </w:t>
    </w:r>
    <w:r w:rsidRPr="005F1A32">
      <w:rPr>
        <w:sz w:val="22"/>
        <w:szCs w:val="24"/>
        <w:rtl/>
      </w:rPr>
      <w:t>القدرة على الثبات</w:t>
    </w:r>
    <w:r w:rsidRPr="005F1A32">
      <w:rPr>
        <w:sz w:val="22"/>
        <w:szCs w:val="24"/>
      </w:rPr>
      <w:tab/>
    </w:r>
    <w:r w:rsidRPr="005F1A32">
      <w:rPr>
        <w:rFonts w:hint="cs"/>
        <w:sz w:val="22"/>
        <w:szCs w:val="24"/>
        <w:rtl/>
      </w:rPr>
      <w:t xml:space="preserve">مجموعة </w:t>
    </w:r>
    <w:proofErr w:type="spellStart"/>
    <w:r w:rsidRPr="005F1A32">
      <w:rPr>
        <w:rFonts w:hint="cs"/>
        <w:sz w:val="22"/>
        <w:szCs w:val="24"/>
        <w:rtl/>
      </w:rPr>
      <w:t>اسفير</w:t>
    </w:r>
    <w:proofErr w:type="spellEnd"/>
    <w:r w:rsidRPr="005F1A32">
      <w:rPr>
        <w:rFonts w:hint="cs"/>
        <w:sz w:val="22"/>
        <w:szCs w:val="24"/>
        <w:rtl/>
      </w:rPr>
      <w:t xml:space="preserve"> التدريبية 2015</w:t>
    </w:r>
  </w:p>
  <w:p w14:paraId="7479A0C2" w14:textId="7740D0B6" w:rsidR="00020540" w:rsidRPr="00E00BDE" w:rsidRDefault="00020540" w:rsidP="00E00BD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2A7A7D" w14:textId="0E552180" w:rsidR="00020540" w:rsidRPr="005F1A32" w:rsidRDefault="00A842B5" w:rsidP="005F1A32">
    <w:pPr>
      <w:pStyle w:val="Footer"/>
      <w:rPr>
        <w:sz w:val="22"/>
        <w:szCs w:val="24"/>
      </w:rPr>
    </w:pPr>
    <w:r w:rsidRPr="005F1A32">
      <w:rPr>
        <w:sz w:val="22"/>
        <w:szCs w:val="24"/>
        <w:rtl/>
      </w:rPr>
      <w:t>الجزء "ب"</w:t>
    </w:r>
    <w:r w:rsidR="005F1A32" w:rsidRPr="005F1A32">
      <w:rPr>
        <w:rFonts w:hint="cs"/>
        <w:sz w:val="22"/>
        <w:szCs w:val="24"/>
        <w:rtl/>
      </w:rPr>
      <w:t xml:space="preserve"> </w:t>
    </w:r>
    <w:r w:rsidRPr="005F1A32">
      <w:rPr>
        <w:sz w:val="22"/>
        <w:szCs w:val="24"/>
        <w:rtl/>
      </w:rPr>
      <w:t xml:space="preserve">3: </w:t>
    </w:r>
    <w:proofErr w:type="spellStart"/>
    <w:r w:rsidR="004D024D" w:rsidRPr="005F1A32">
      <w:rPr>
        <w:sz w:val="22"/>
        <w:szCs w:val="24"/>
        <w:rtl/>
      </w:rPr>
      <w:t>اسفير</w:t>
    </w:r>
    <w:proofErr w:type="spellEnd"/>
    <w:r w:rsidR="004D024D" w:rsidRPr="005F1A32">
      <w:rPr>
        <w:sz w:val="22"/>
        <w:szCs w:val="24"/>
        <w:rtl/>
      </w:rPr>
      <w:t xml:space="preserve"> والحد من</w:t>
    </w:r>
    <w:r w:rsidR="005F1A32" w:rsidRPr="005F1A32">
      <w:rPr>
        <w:rFonts w:hint="cs"/>
        <w:sz w:val="22"/>
        <w:szCs w:val="24"/>
        <w:rtl/>
      </w:rPr>
      <w:t xml:space="preserve"> </w:t>
    </w:r>
    <w:r w:rsidR="004D024D" w:rsidRPr="005F1A32">
      <w:rPr>
        <w:sz w:val="22"/>
        <w:szCs w:val="24"/>
        <w:rtl/>
      </w:rPr>
      <w:t>إدارة مخاطر الكوارث و</w:t>
    </w:r>
    <w:r w:rsidR="004D507D" w:rsidRPr="005F1A32">
      <w:rPr>
        <w:rFonts w:hint="cs"/>
        <w:sz w:val="22"/>
        <w:szCs w:val="24"/>
        <w:rtl/>
      </w:rPr>
      <w:t xml:space="preserve">تعزيز </w:t>
    </w:r>
    <w:r w:rsidR="004D024D" w:rsidRPr="005F1A32">
      <w:rPr>
        <w:sz w:val="22"/>
        <w:szCs w:val="24"/>
        <w:rtl/>
      </w:rPr>
      <w:t>القدرة على الثبات</w:t>
    </w:r>
    <w:r w:rsidR="00991508" w:rsidRPr="005F1A32">
      <w:rPr>
        <w:sz w:val="22"/>
        <w:szCs w:val="24"/>
      </w:rPr>
      <w:tab/>
    </w:r>
    <w:r w:rsidRPr="005F1A32">
      <w:rPr>
        <w:rFonts w:hint="cs"/>
        <w:sz w:val="22"/>
        <w:szCs w:val="24"/>
        <w:rtl/>
      </w:rPr>
      <w:t>مجموعة اسفير التدريبية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FFA401" w14:textId="77777777" w:rsidR="005F35E7" w:rsidRDefault="005F35E7" w:rsidP="002848CC">
      <w:pPr>
        <w:spacing w:before="0"/>
      </w:pPr>
      <w:r>
        <w:separator/>
      </w:r>
    </w:p>
  </w:footnote>
  <w:footnote w:type="continuationSeparator" w:id="0">
    <w:p w14:paraId="234C7219" w14:textId="77777777" w:rsidR="005F35E7" w:rsidRDefault="005F35E7"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CE240E" w14:textId="77777777" w:rsidR="00020540" w:rsidRPr="004F1D9A" w:rsidRDefault="00020540" w:rsidP="00891199">
    <w:r w:rsidRPr="007A7ACB">
      <w:t>Handouts</w:t>
    </w:r>
    <w:r>
      <w:tab/>
    </w:r>
    <w:r w:rsidR="00B521E1">
      <w:rPr>
        <w:noProof/>
        <w:position w:val="-20"/>
        <w:lang w:val="fr-FR" w:eastAsia="fr-FR"/>
      </w:rPr>
      <w:drawing>
        <wp:inline distT="0" distB="0" distL="0" distR="0" wp14:anchorId="3B3F790D" wp14:editId="0D13C89C">
          <wp:extent cx="1854200" cy="381000"/>
          <wp:effectExtent l="0" t="0" r="0" b="0"/>
          <wp:docPr id="1" name="Picture 6" descr="Files:Current Client:Walkgrove:Sphere:Sphere examples and guidelines:Visual_guidelines_and_materials:HANDBOOK ICONS:Sphere-Project-Logo-Landscape-No-Tagline-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les:Current Client:Walkgrove:Sphere:Sphere examples and guidelines:Visual_guidelines_and_materials:HANDBOOK ICONS:Sphere-Project-Logo-Landscape-No-Tagline-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4200" cy="38100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66CD4C" w14:textId="3C6F70EA" w:rsidR="00991508" w:rsidRPr="008F0966" w:rsidRDefault="00991508" w:rsidP="008F0966">
    <w:pPr>
      <w:pStyle w:val="Header"/>
      <w:jc w:val="right"/>
      <w:rPr>
        <w:sz w:val="32"/>
        <w:szCs w:val="32"/>
      </w:rPr>
    </w:pPr>
    <w:r w:rsidRPr="008F0966">
      <w:rPr>
        <w:sz w:val="32"/>
        <w:szCs w:val="32"/>
        <w:rtl/>
      </w:rPr>
      <w:t>المواد التدريبية</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BCC188" w14:textId="7184C456" w:rsidR="0035415F" w:rsidRPr="00991508" w:rsidRDefault="0035415F" w:rsidP="001F1871">
    <w:pPr>
      <w:pStyle w:val="Heading1"/>
      <w:rPr>
        <w:color w:val="579305" w:themeColor="accent1"/>
        <w:rtl/>
      </w:rPr>
    </w:pPr>
    <w:r w:rsidRPr="00991508">
      <w:rPr>
        <w:rtl/>
      </w:rPr>
      <w:t>الجزء "ب"</w:t>
    </w:r>
    <w:r w:rsidR="001F1871">
      <w:rPr>
        <w:rFonts w:hint="cs"/>
        <w:rtl/>
      </w:rPr>
      <w:t xml:space="preserve"> 3</w:t>
    </w:r>
    <w:r w:rsidRPr="00991508">
      <w:rPr>
        <w:rtl/>
      </w:rPr>
      <w:t xml:space="preserve">: </w:t>
    </w:r>
    <w:proofErr w:type="spellStart"/>
    <w:r w:rsidR="004D024D" w:rsidRPr="00991508">
      <w:rPr>
        <w:rtl/>
      </w:rPr>
      <w:t>اسفير</w:t>
    </w:r>
    <w:proofErr w:type="spellEnd"/>
    <w:r w:rsidR="004D024D" w:rsidRPr="00991508">
      <w:rPr>
        <w:rtl/>
      </w:rPr>
      <w:t xml:space="preserve"> والحد من</w:t>
    </w:r>
    <w:r w:rsidR="001F1871">
      <w:rPr>
        <w:rFonts w:hint="cs"/>
        <w:rtl/>
      </w:rPr>
      <w:t xml:space="preserve"> </w:t>
    </w:r>
    <w:r w:rsidR="004D024D" w:rsidRPr="00991508">
      <w:rPr>
        <w:rtl/>
      </w:rPr>
      <w:t>إدارة مخاطر الكوارث و</w:t>
    </w:r>
    <w:r w:rsidR="004D024D" w:rsidRPr="00991508">
      <w:rPr>
        <w:rFonts w:hint="cs"/>
        <w:rtl/>
      </w:rPr>
      <w:t xml:space="preserve">تعزيز </w:t>
    </w:r>
    <w:r w:rsidRPr="00991508">
      <w:rPr>
        <w:rtl/>
      </w:rPr>
      <w:t>القدرة على الثبات</w:t>
    </w:r>
    <w:r w:rsidRPr="00991508">
      <w:t xml:space="preserve"> </w:t>
    </w:r>
    <w:r w:rsidRPr="00991508">
      <w:rPr>
        <w:rtl/>
      </w:rPr>
      <w:tab/>
    </w:r>
    <w:r w:rsidRPr="00991508">
      <w:rPr>
        <w:rFonts w:hint="cs"/>
        <w:color w:val="579305" w:themeColor="accent1"/>
        <w:rtl/>
      </w:rPr>
      <w:t>المواد التدريبية</w:t>
    </w:r>
  </w:p>
  <w:p w14:paraId="44811EBC" w14:textId="375ECEB0" w:rsidR="00020540" w:rsidRPr="00991508" w:rsidRDefault="0035415F" w:rsidP="005F1A32">
    <w:pPr>
      <w:pStyle w:val="Heading2"/>
    </w:pPr>
    <w:r w:rsidRPr="00991508">
      <w:rPr>
        <w:rtl/>
      </w:rPr>
      <w:t xml:space="preserve">كيف يمكنك استخدام دليل </w:t>
    </w:r>
    <w:proofErr w:type="spellStart"/>
    <w:r w:rsidRPr="00991508">
      <w:rPr>
        <w:rtl/>
      </w:rPr>
      <w:t>اسفير</w:t>
    </w:r>
    <w:proofErr w:type="spellEnd"/>
    <w:r w:rsidRPr="00991508">
      <w:rPr>
        <w:rtl/>
      </w:rPr>
      <w:t xml:space="preserve"> للحد من</w:t>
    </w:r>
    <w:r w:rsidR="005F1A32">
      <w:rPr>
        <w:rFonts w:hint="cs"/>
        <w:rtl/>
      </w:rPr>
      <w:t xml:space="preserve"> </w:t>
    </w:r>
    <w:r w:rsidR="004D024D" w:rsidRPr="00991508">
      <w:rPr>
        <w:rFonts w:hint="cs"/>
        <w:rtl/>
      </w:rPr>
      <w:t>إدارة</w:t>
    </w:r>
    <w:r w:rsidRPr="00991508">
      <w:rPr>
        <w:rtl/>
      </w:rPr>
      <w:t xml:space="preserve"> </w:t>
    </w:r>
    <w:r w:rsidR="004D024D" w:rsidRPr="00991508">
      <w:rPr>
        <w:rFonts w:hint="cs"/>
        <w:rtl/>
      </w:rPr>
      <w:t xml:space="preserve">مخاطر </w:t>
    </w:r>
    <w:r w:rsidRPr="00991508">
      <w:rPr>
        <w:rtl/>
      </w:rPr>
      <w:t>الكوارث</w:t>
    </w:r>
    <w:r w:rsidR="004D024D" w:rsidRPr="00991508">
      <w:rPr>
        <w:rtl/>
      </w:rPr>
      <w:t xml:space="preserve"> وتعزيز </w:t>
    </w:r>
    <w:r w:rsidRPr="00991508">
      <w:rPr>
        <w:rtl/>
      </w:rPr>
      <w:t xml:space="preserve">قدرة </w:t>
    </w:r>
    <w:r w:rsidR="004D024D" w:rsidRPr="00991508">
      <w:rPr>
        <w:rtl/>
      </w:rPr>
      <w:t xml:space="preserve">السكان المتضررين </w:t>
    </w:r>
    <w:r w:rsidRPr="00991508">
      <w:rPr>
        <w:rtl/>
      </w:rPr>
      <w:t xml:space="preserve">على </w:t>
    </w:r>
    <w:r w:rsidR="004D024D" w:rsidRPr="00991508">
      <w:rPr>
        <w:rFonts w:hint="cs"/>
        <w:rtl/>
      </w:rPr>
      <w:t>ال</w:t>
    </w:r>
    <w:r w:rsidR="004D024D" w:rsidRPr="00991508">
      <w:rPr>
        <w:rtl/>
      </w:rPr>
      <w:t>ثبات</w:t>
    </w:r>
    <w:r w:rsidRPr="00991508">
      <w:rPr>
        <w:rtl/>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764AA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02082DCA"/>
    <w:multiLevelType w:val="hybridMultilevel"/>
    <w:tmpl w:val="C1EAB630"/>
    <w:lvl w:ilvl="0" w:tplc="97CCFBDE">
      <w:start w:val="1"/>
      <w:numFmt w:val="bullet"/>
      <w:lvlText w:val="–"/>
      <w:lvlJc w:val="left"/>
      <w:pPr>
        <w:ind w:left="284" w:hanging="284"/>
      </w:pPr>
      <w:rPr>
        <w:rFonts w:ascii="Times New Roman" w:hAnsi="Times New Roman" w:cs="Times New Roman" w:hint="default"/>
        <w:color w:val="0065A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4">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0D7DD3"/>
    <w:multiLevelType w:val="hybridMultilevel"/>
    <w:tmpl w:val="878EC716"/>
    <w:lvl w:ilvl="0" w:tplc="BD68BE1C">
      <w:start w:val="1"/>
      <w:numFmt w:val="bullet"/>
      <w:pStyle w:val="bullet"/>
      <w:lvlText w:val=""/>
      <w:lvlJc w:val="left"/>
      <w:pPr>
        <w:ind w:left="360" w:hanging="360"/>
      </w:pPr>
      <w:rPr>
        <w:rFonts w:ascii="Symbol" w:hAnsi="Symbol" w:cs="Symbol" w:hint="default"/>
        <w:b w:val="0"/>
        <w:i w:val="0"/>
        <w:color w:val="004386" w:themeColor="text2"/>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25672F"/>
    <w:multiLevelType w:val="hybridMultilevel"/>
    <w:tmpl w:val="B87E6C34"/>
    <w:lvl w:ilvl="0" w:tplc="A6F0BB26">
      <w:start w:val="1"/>
      <w:numFmt w:val="bullet"/>
      <w:pStyle w:val="tablebullet"/>
      <w:lvlText w:val=""/>
      <w:lvlJc w:val="left"/>
      <w:pPr>
        <w:ind w:left="360" w:hanging="360"/>
      </w:pPr>
      <w:rPr>
        <w:rFonts w:ascii="Symbol" w:hAnsi="Symbol" w:cs="Symbol" w:hint="default"/>
        <w:b w:val="0"/>
        <w:bCs w:val="0"/>
        <w:i w:val="0"/>
        <w:iCs w:val="0"/>
        <w:color w:val="004386" w:themeColor="text2"/>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0D27EBF"/>
    <w:multiLevelType w:val="hybridMultilevel"/>
    <w:tmpl w:val="8E1C6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51980635"/>
    <w:multiLevelType w:val="multilevel"/>
    <w:tmpl w:val="0DC22FB2"/>
    <w:lvl w:ilvl="0">
      <w:start w:val="1"/>
      <w:numFmt w:val="bullet"/>
      <w:lvlText w:val=""/>
      <w:lvlJc w:val="left"/>
      <w:pPr>
        <w:ind w:left="284" w:hanging="284"/>
      </w:pPr>
      <w:rPr>
        <w:rFonts w:ascii="Symbol" w:hAnsi="Symbol" w:hint="default"/>
        <w:color w:val="004386"/>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3"/>
  </w:num>
  <w:num w:numId="4">
    <w:abstractNumId w:val="3"/>
  </w:num>
  <w:num w:numId="5">
    <w:abstractNumId w:val="3"/>
  </w:num>
  <w:num w:numId="6">
    <w:abstractNumId w:val="3"/>
  </w:num>
  <w:num w:numId="7">
    <w:abstractNumId w:val="1"/>
  </w:num>
  <w:num w:numId="8">
    <w:abstractNumId w:val="13"/>
  </w:num>
  <w:num w:numId="9">
    <w:abstractNumId w:val="7"/>
  </w:num>
  <w:num w:numId="10">
    <w:abstractNumId w:val="11"/>
  </w:num>
  <w:num w:numId="11">
    <w:abstractNumId w:val="4"/>
  </w:num>
  <w:num w:numId="12">
    <w:abstractNumId w:val="9"/>
  </w:num>
  <w:num w:numId="13">
    <w:abstractNumId w:val="8"/>
  </w:num>
  <w:num w:numId="14">
    <w:abstractNumId w:val="5"/>
  </w:num>
  <w:num w:numId="15">
    <w:abstractNumId w:val="6"/>
  </w:num>
  <w:num w:numId="16">
    <w:abstractNumId w:val="5"/>
  </w:num>
  <w:num w:numId="17">
    <w:abstractNumId w:val="6"/>
  </w:num>
  <w:num w:numId="18">
    <w:abstractNumId w:val="12"/>
  </w:num>
  <w:num w:numId="19">
    <w:abstractNumId w:val="2"/>
  </w:num>
  <w:num w:numId="20">
    <w:abstractNumId w:val="0"/>
  </w:num>
  <w:num w:numId="21">
    <w:abstractNumId w:val="10"/>
  </w:num>
  <w:num w:numId="22">
    <w:abstractNumId w:val="5"/>
  </w:num>
  <w:num w:numId="23">
    <w:abstractNumId w:val="6"/>
  </w:num>
  <w:num w:numId="24">
    <w:abstractNumId w:val="5"/>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US" w:vendorID="64" w:dllVersion="131078" w:nlCheck="1" w:checkStyle="1"/>
  <w:activeWritingStyle w:appName="MSWord" w:lang="en-GB" w:vendorID="64" w:dllVersion="131078" w:nlCheck="1" w:checkStyle="1"/>
  <w:activeWritingStyle w:appName="MSWord" w:lang="ar-SA" w:vendorID="64" w:dllVersion="131078" w:nlCheck="1" w:checkStyle="0"/>
  <w:activeWritingStyle w:appName="MSWord" w:lang="ar-AE" w:vendorID="64" w:dllVersion="131078" w:nlCheck="1" w:checkStyle="0"/>
  <w:activeWritingStyle w:appName="MSWord" w:lang="ar-TN" w:vendorID="64" w:dllVersion="131078" w:nlCheck="1" w:checkStyle="0"/>
  <w:proofState w:spelling="clean" w:grammar="clean"/>
  <w:stylePaneFormatFilter w:val="3821" w:allStyles="1" w:customStyles="0" w:latentStyles="0" w:stylesInUse="0" w:headingStyles="1" w:numberingStyles="0" w:tableStyles="0" w:directFormattingOnRuns="0" w:directFormattingOnParagraphs="0" w:directFormattingOnNumbering="0"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146"/>
    <w:rsid w:val="00003C01"/>
    <w:rsid w:val="00020540"/>
    <w:rsid w:val="0008565A"/>
    <w:rsid w:val="000C5F57"/>
    <w:rsid w:val="000F56AF"/>
    <w:rsid w:val="00121B44"/>
    <w:rsid w:val="0013229F"/>
    <w:rsid w:val="00143BC1"/>
    <w:rsid w:val="00144112"/>
    <w:rsid w:val="0015588F"/>
    <w:rsid w:val="001713BA"/>
    <w:rsid w:val="001740C0"/>
    <w:rsid w:val="00175CA3"/>
    <w:rsid w:val="001869EC"/>
    <w:rsid w:val="001A2744"/>
    <w:rsid w:val="001C7F2F"/>
    <w:rsid w:val="001D0724"/>
    <w:rsid w:val="001D7A65"/>
    <w:rsid w:val="001F1871"/>
    <w:rsid w:val="001F7F75"/>
    <w:rsid w:val="00200D4D"/>
    <w:rsid w:val="00205074"/>
    <w:rsid w:val="002201FF"/>
    <w:rsid w:val="00237D09"/>
    <w:rsid w:val="00241992"/>
    <w:rsid w:val="00260E5E"/>
    <w:rsid w:val="002708FC"/>
    <w:rsid w:val="002753B0"/>
    <w:rsid w:val="002848CC"/>
    <w:rsid w:val="002933E5"/>
    <w:rsid w:val="002958E2"/>
    <w:rsid w:val="002A2DC4"/>
    <w:rsid w:val="002C721A"/>
    <w:rsid w:val="002D3B86"/>
    <w:rsid w:val="002F1ED8"/>
    <w:rsid w:val="002F2B87"/>
    <w:rsid w:val="0030064E"/>
    <w:rsid w:val="00314ADC"/>
    <w:rsid w:val="00315E11"/>
    <w:rsid w:val="0035415F"/>
    <w:rsid w:val="00370153"/>
    <w:rsid w:val="00377301"/>
    <w:rsid w:val="003A4483"/>
    <w:rsid w:val="003C469E"/>
    <w:rsid w:val="003C5331"/>
    <w:rsid w:val="003E013F"/>
    <w:rsid w:val="003E2279"/>
    <w:rsid w:val="003E2DB9"/>
    <w:rsid w:val="003F0EB3"/>
    <w:rsid w:val="003F1ED1"/>
    <w:rsid w:val="003F24DC"/>
    <w:rsid w:val="004231C3"/>
    <w:rsid w:val="00427BAB"/>
    <w:rsid w:val="0043797B"/>
    <w:rsid w:val="0045590B"/>
    <w:rsid w:val="00463DB5"/>
    <w:rsid w:val="00466F95"/>
    <w:rsid w:val="004C381F"/>
    <w:rsid w:val="004D024D"/>
    <w:rsid w:val="004D507D"/>
    <w:rsid w:val="004D7062"/>
    <w:rsid w:val="004F1D9A"/>
    <w:rsid w:val="0050225B"/>
    <w:rsid w:val="00517EFB"/>
    <w:rsid w:val="00522767"/>
    <w:rsid w:val="00522EAB"/>
    <w:rsid w:val="005751FD"/>
    <w:rsid w:val="00597D70"/>
    <w:rsid w:val="005F1A32"/>
    <w:rsid w:val="005F35E7"/>
    <w:rsid w:val="005F6AEE"/>
    <w:rsid w:val="00601FF7"/>
    <w:rsid w:val="00620E7C"/>
    <w:rsid w:val="0063519D"/>
    <w:rsid w:val="00637110"/>
    <w:rsid w:val="00690F64"/>
    <w:rsid w:val="0069635D"/>
    <w:rsid w:val="006A6B61"/>
    <w:rsid w:val="006C099B"/>
    <w:rsid w:val="006D149B"/>
    <w:rsid w:val="006D44B6"/>
    <w:rsid w:val="006E4055"/>
    <w:rsid w:val="006E5974"/>
    <w:rsid w:val="006E74C4"/>
    <w:rsid w:val="006F3951"/>
    <w:rsid w:val="007030AE"/>
    <w:rsid w:val="00714CE1"/>
    <w:rsid w:val="00715CA8"/>
    <w:rsid w:val="00731755"/>
    <w:rsid w:val="007530CE"/>
    <w:rsid w:val="00761400"/>
    <w:rsid w:val="007631C4"/>
    <w:rsid w:val="00775878"/>
    <w:rsid w:val="00780D3D"/>
    <w:rsid w:val="00781146"/>
    <w:rsid w:val="00785E7E"/>
    <w:rsid w:val="00786D20"/>
    <w:rsid w:val="00792B8B"/>
    <w:rsid w:val="007A255B"/>
    <w:rsid w:val="007A4412"/>
    <w:rsid w:val="007A7ACB"/>
    <w:rsid w:val="007B3E00"/>
    <w:rsid w:val="007E479A"/>
    <w:rsid w:val="00810AFF"/>
    <w:rsid w:val="00811B63"/>
    <w:rsid w:val="00816A31"/>
    <w:rsid w:val="00825D04"/>
    <w:rsid w:val="008260A5"/>
    <w:rsid w:val="008647F3"/>
    <w:rsid w:val="008652CA"/>
    <w:rsid w:val="00865F9D"/>
    <w:rsid w:val="0087787A"/>
    <w:rsid w:val="00891199"/>
    <w:rsid w:val="008A051A"/>
    <w:rsid w:val="008B4444"/>
    <w:rsid w:val="008B7D3C"/>
    <w:rsid w:val="008F0966"/>
    <w:rsid w:val="008F7DE8"/>
    <w:rsid w:val="0090172B"/>
    <w:rsid w:val="0090692F"/>
    <w:rsid w:val="00925784"/>
    <w:rsid w:val="00931E05"/>
    <w:rsid w:val="00937519"/>
    <w:rsid w:val="009516C3"/>
    <w:rsid w:val="009611CB"/>
    <w:rsid w:val="009643E7"/>
    <w:rsid w:val="00965790"/>
    <w:rsid w:val="00971AD2"/>
    <w:rsid w:val="00981544"/>
    <w:rsid w:val="0098193F"/>
    <w:rsid w:val="00991508"/>
    <w:rsid w:val="00995549"/>
    <w:rsid w:val="009C6C4F"/>
    <w:rsid w:val="009D0B27"/>
    <w:rsid w:val="009D6A86"/>
    <w:rsid w:val="009D7027"/>
    <w:rsid w:val="009E270C"/>
    <w:rsid w:val="00A46634"/>
    <w:rsid w:val="00A5485F"/>
    <w:rsid w:val="00A6569F"/>
    <w:rsid w:val="00A80DF5"/>
    <w:rsid w:val="00A842B5"/>
    <w:rsid w:val="00A93E89"/>
    <w:rsid w:val="00A95124"/>
    <w:rsid w:val="00AB088B"/>
    <w:rsid w:val="00AD30D2"/>
    <w:rsid w:val="00AF36C0"/>
    <w:rsid w:val="00B21D9D"/>
    <w:rsid w:val="00B40995"/>
    <w:rsid w:val="00B521E1"/>
    <w:rsid w:val="00B572C2"/>
    <w:rsid w:val="00B70E34"/>
    <w:rsid w:val="00B91AAC"/>
    <w:rsid w:val="00BC6234"/>
    <w:rsid w:val="00BE3D5B"/>
    <w:rsid w:val="00C0309C"/>
    <w:rsid w:val="00C062C1"/>
    <w:rsid w:val="00C24CBA"/>
    <w:rsid w:val="00C32D00"/>
    <w:rsid w:val="00C35B0F"/>
    <w:rsid w:val="00C4000B"/>
    <w:rsid w:val="00C40B01"/>
    <w:rsid w:val="00C507F3"/>
    <w:rsid w:val="00C7602D"/>
    <w:rsid w:val="00CE4A24"/>
    <w:rsid w:val="00CF4D3E"/>
    <w:rsid w:val="00D064C5"/>
    <w:rsid w:val="00D221A6"/>
    <w:rsid w:val="00D54219"/>
    <w:rsid w:val="00D6529F"/>
    <w:rsid w:val="00D83790"/>
    <w:rsid w:val="00D90736"/>
    <w:rsid w:val="00DD0F73"/>
    <w:rsid w:val="00DE04F5"/>
    <w:rsid w:val="00DE202F"/>
    <w:rsid w:val="00DE210D"/>
    <w:rsid w:val="00DE21D3"/>
    <w:rsid w:val="00DF2534"/>
    <w:rsid w:val="00E00BDE"/>
    <w:rsid w:val="00E00DBA"/>
    <w:rsid w:val="00E109CE"/>
    <w:rsid w:val="00E15219"/>
    <w:rsid w:val="00E2620E"/>
    <w:rsid w:val="00E26D30"/>
    <w:rsid w:val="00E56EF1"/>
    <w:rsid w:val="00E71C66"/>
    <w:rsid w:val="00E8474E"/>
    <w:rsid w:val="00EA13C4"/>
    <w:rsid w:val="00EA1F0B"/>
    <w:rsid w:val="00EB14C9"/>
    <w:rsid w:val="00EE535D"/>
    <w:rsid w:val="00EF7E0A"/>
    <w:rsid w:val="00F00BF6"/>
    <w:rsid w:val="00F042DD"/>
    <w:rsid w:val="00F25952"/>
    <w:rsid w:val="00F51600"/>
    <w:rsid w:val="00F52152"/>
    <w:rsid w:val="00F550CF"/>
    <w:rsid w:val="00F66ABC"/>
    <w:rsid w:val="00F67F82"/>
    <w:rsid w:val="00F97BB3"/>
    <w:rsid w:val="00FA36BF"/>
    <w:rsid w:val="00FA7F78"/>
    <w:rsid w:val="00FF745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889B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1"/>
    <w:lsdException w:name="caption" w:uiPriority="35" w:qFormat="1"/>
    <w:lsdException w:name="Title" w:semiHidden="0" w:unhideWhenUsed="0" w:qFormat="1"/>
    <w:lsdException w:name="Default Paragraph Font" w:uiPriority="1"/>
    <w:lsdException w:name="Subtitle" w:semiHidden="0" w:uiPriority="11" w:unhideWhenUsed="0" w:qFormat="1"/>
    <w:lsdException w:name="Hyperlink" w:uiPriority="1"/>
    <w:lsdException w:name="Strong" w:semiHidden="0" w:uiPriority="0" w:unhideWhenUsed="0" w:qFormat="1"/>
    <w:lsdException w:name="Emphasis" w:semiHidden="0" w:uiPriority="0" w:unhideWhenUsed="0" w:qFormat="1"/>
    <w:lsdException w:name="Table Grid" w:semiHidden="0" w:uiPriority="59"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Normal">
    <w:name w:val="Normal"/>
    <w:aliases w:val="n"/>
    <w:qFormat/>
    <w:rsid w:val="00CF4D3E"/>
    <w:pPr>
      <w:keepLines/>
      <w:bidi/>
      <w:spacing w:before="160"/>
    </w:pPr>
    <w:rPr>
      <w:rFonts w:ascii="Traditional Arabic" w:hAnsi="Traditional Arabic" w:cs="Traditional Arabic"/>
      <w:sz w:val="24"/>
      <w:szCs w:val="28"/>
      <w:lang w:eastAsia="es-ES"/>
    </w:rPr>
  </w:style>
  <w:style w:type="paragraph" w:styleId="Heading1">
    <w:name w:val="heading 1"/>
    <w:aliases w:val="h1"/>
    <w:basedOn w:val="Normal"/>
    <w:next w:val="Normal"/>
    <w:link w:val="Heading1Char"/>
    <w:qFormat/>
    <w:rsid w:val="00991508"/>
    <w:pPr>
      <w:keepNext/>
      <w:tabs>
        <w:tab w:val="right" w:pos="9356"/>
      </w:tabs>
      <w:spacing w:before="0"/>
      <w:outlineLvl w:val="0"/>
    </w:pPr>
    <w:rPr>
      <w:rFonts w:eastAsiaTheme="majorEastAsia"/>
      <w:b/>
      <w:bCs/>
      <w:color w:val="004386"/>
      <w:kern w:val="32"/>
      <w:sz w:val="36"/>
      <w:szCs w:val="32"/>
    </w:rPr>
  </w:style>
  <w:style w:type="paragraph" w:styleId="Heading2">
    <w:name w:val="heading 2"/>
    <w:aliases w:val="h2"/>
    <w:basedOn w:val="Heading1"/>
    <w:next w:val="Normal"/>
    <w:link w:val="Heading2Char"/>
    <w:qFormat/>
    <w:rsid w:val="00991508"/>
    <w:pPr>
      <w:pBdr>
        <w:bottom w:val="single" w:sz="4" w:space="4" w:color="004386" w:themeColor="text2"/>
      </w:pBdr>
      <w:spacing w:before="80"/>
      <w:outlineLvl w:val="1"/>
    </w:pPr>
    <w:rPr>
      <w:bCs w:val="0"/>
      <w:i/>
      <w:iCs/>
      <w:color w:val="004386" w:themeColor="text2"/>
    </w:rPr>
  </w:style>
  <w:style w:type="paragraph" w:styleId="Heading3">
    <w:name w:val="heading 3"/>
    <w:aliases w:val="h3"/>
    <w:basedOn w:val="Heading2"/>
    <w:next w:val="Normal"/>
    <w:link w:val="Heading3Char"/>
    <w:qFormat/>
    <w:rsid w:val="00991508"/>
    <w:pPr>
      <w:pBdr>
        <w:bottom w:val="none" w:sz="0" w:space="0" w:color="auto"/>
      </w:pBdr>
      <w:spacing w:before="320"/>
      <w:outlineLvl w:val="2"/>
    </w:pPr>
    <w:rPr>
      <w:bCs/>
      <w:i w:val="0"/>
      <w:iCs w:val="0"/>
      <w:sz w:val="28"/>
      <w:szCs w:val="36"/>
    </w:rPr>
  </w:style>
  <w:style w:type="paragraph" w:styleId="Heading4">
    <w:name w:val="heading 4"/>
    <w:aliases w:val="h4"/>
    <w:basedOn w:val="Heading3"/>
    <w:next w:val="Normal"/>
    <w:link w:val="Heading4Char"/>
    <w:qFormat/>
    <w:rsid w:val="00991508"/>
    <w:pPr>
      <w:spacing w:before="160"/>
      <w:outlineLvl w:val="3"/>
    </w:pPr>
    <w:rPr>
      <w:rFonts w:eastAsia="Traditional Arabic"/>
      <w:szCs w:val="28"/>
    </w:rPr>
  </w:style>
  <w:style w:type="paragraph" w:styleId="Heading5">
    <w:name w:val="heading 5"/>
    <w:basedOn w:val="Normal"/>
    <w:next w:val="Normal"/>
    <w:link w:val="Heading5Char"/>
    <w:qFormat/>
    <w:rsid w:val="00991508"/>
    <w:pPr>
      <w:keepNext/>
      <w:outlineLvl w:val="4"/>
    </w:pPr>
    <w:rPr>
      <w:b/>
      <w:bCs/>
    </w:rPr>
  </w:style>
  <w:style w:type="paragraph" w:styleId="Heading6">
    <w:name w:val="heading 6"/>
    <w:basedOn w:val="Normal"/>
    <w:next w:val="Normal"/>
    <w:link w:val="Heading6Char"/>
    <w:uiPriority w:val="9"/>
    <w:unhideWhenUsed/>
    <w:qFormat/>
    <w:rsid w:val="00991508"/>
    <w:pPr>
      <w:keepNext/>
      <w:spacing w:before="40"/>
      <w:outlineLvl w:val="5"/>
    </w:pPr>
    <w:rPr>
      <w:rFonts w:asciiTheme="majorHAnsi" w:eastAsiaTheme="majorEastAsia" w:hAnsiTheme="majorHAnsi" w:cstheme="majorBidi"/>
      <w:color w:val="2B4902"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991508"/>
    <w:rPr>
      <w:rFonts w:ascii="Traditional Arabic" w:eastAsiaTheme="majorEastAsia" w:hAnsi="Traditional Arabic" w:cs="Traditional Arabic"/>
      <w:b/>
      <w:bCs/>
      <w:color w:val="004386"/>
      <w:kern w:val="32"/>
      <w:sz w:val="36"/>
      <w:szCs w:val="32"/>
      <w:lang w:eastAsia="es-ES"/>
    </w:rPr>
  </w:style>
  <w:style w:type="character" w:customStyle="1" w:styleId="Heading2Char">
    <w:name w:val="Heading 2 Char"/>
    <w:aliases w:val="h2 Char"/>
    <w:basedOn w:val="DefaultParagraphFont"/>
    <w:link w:val="Heading2"/>
    <w:rsid w:val="00991508"/>
    <w:rPr>
      <w:rFonts w:ascii="Traditional Arabic" w:eastAsiaTheme="majorEastAsia" w:hAnsi="Traditional Arabic" w:cs="Traditional Arabic"/>
      <w:b/>
      <w:i/>
      <w:iCs/>
      <w:color w:val="004386" w:themeColor="text2"/>
      <w:kern w:val="32"/>
      <w:sz w:val="36"/>
      <w:szCs w:val="32"/>
      <w:lang w:eastAsia="es-ES"/>
    </w:rPr>
  </w:style>
  <w:style w:type="character" w:customStyle="1" w:styleId="Heading3Char">
    <w:name w:val="Heading 3 Char"/>
    <w:aliases w:val="h3 Char"/>
    <w:basedOn w:val="DefaultParagraphFont"/>
    <w:link w:val="Heading3"/>
    <w:rsid w:val="00991508"/>
    <w:rPr>
      <w:rFonts w:ascii="Traditional Arabic" w:eastAsiaTheme="majorEastAsia" w:hAnsi="Traditional Arabic" w:cs="Traditional Arabic"/>
      <w:b/>
      <w:bCs/>
      <w:color w:val="004386" w:themeColor="text2"/>
      <w:kern w:val="32"/>
      <w:sz w:val="28"/>
      <w:szCs w:val="36"/>
      <w:lang w:eastAsia="es-ES"/>
    </w:rPr>
  </w:style>
  <w:style w:type="character" w:customStyle="1" w:styleId="Heading4Char">
    <w:name w:val="Heading 4 Char"/>
    <w:aliases w:val="h4 Char"/>
    <w:basedOn w:val="DefaultParagraphFont"/>
    <w:link w:val="Heading4"/>
    <w:rsid w:val="00991508"/>
    <w:rPr>
      <w:rFonts w:ascii="Traditional Arabic" w:eastAsia="Traditional Arabic" w:hAnsi="Traditional Arabic" w:cs="Traditional Arabic"/>
      <w:b/>
      <w:bCs/>
      <w:color w:val="004386" w:themeColor="text2"/>
      <w:kern w:val="32"/>
      <w:sz w:val="28"/>
      <w:szCs w:val="28"/>
      <w:lang w:eastAsia="es-ES"/>
    </w:rPr>
  </w:style>
  <w:style w:type="character" w:customStyle="1" w:styleId="Heading5Char">
    <w:name w:val="Heading 5 Char"/>
    <w:basedOn w:val="DefaultParagraphFont"/>
    <w:link w:val="Heading5"/>
    <w:rsid w:val="00991508"/>
    <w:rPr>
      <w:rFonts w:ascii="Traditional Arabic" w:hAnsi="Traditional Arabic" w:cs="Traditional Arabic"/>
      <w:b/>
      <w:bCs/>
      <w:sz w:val="24"/>
      <w:szCs w:val="28"/>
      <w:lang w:eastAsia="es-ES"/>
    </w:rPr>
  </w:style>
  <w:style w:type="paragraph" w:styleId="BalloonText">
    <w:name w:val="Balloon Text"/>
    <w:basedOn w:val="Normal"/>
    <w:link w:val="BalloonTextChar"/>
    <w:uiPriority w:val="99"/>
    <w:semiHidden/>
    <w:unhideWhenUsed/>
    <w:rsid w:val="00991508"/>
    <w:pPr>
      <w:spacing w:before="0"/>
    </w:pPr>
    <w:rPr>
      <w:rFonts w:cs="Tahoma"/>
      <w:sz w:val="16"/>
      <w:szCs w:val="16"/>
    </w:rPr>
  </w:style>
  <w:style w:type="character" w:customStyle="1" w:styleId="BalloonTextChar">
    <w:name w:val="Balloon Text Char"/>
    <w:basedOn w:val="DefaultParagraphFont"/>
    <w:link w:val="BalloonText"/>
    <w:uiPriority w:val="99"/>
    <w:semiHidden/>
    <w:rsid w:val="00991508"/>
    <w:rPr>
      <w:rFonts w:ascii="Traditional Arabic" w:hAnsi="Traditional Arabic" w:cs="Tahoma"/>
      <w:sz w:val="16"/>
      <w:szCs w:val="16"/>
      <w:lang w:eastAsia="es-ES"/>
    </w:rPr>
  </w:style>
  <w:style w:type="paragraph" w:customStyle="1" w:styleId="bullet">
    <w:name w:val="bullet"/>
    <w:aliases w:val="b"/>
    <w:basedOn w:val="Normal"/>
    <w:qFormat/>
    <w:rsid w:val="00991508"/>
    <w:pPr>
      <w:numPr>
        <w:numId w:val="24"/>
      </w:numPr>
      <w:spacing w:before="80"/>
    </w:pPr>
  </w:style>
  <w:style w:type="paragraph" w:styleId="Caption">
    <w:name w:val="caption"/>
    <w:basedOn w:val="Normal"/>
    <w:next w:val="Normal"/>
    <w:uiPriority w:val="35"/>
    <w:semiHidden/>
    <w:qFormat/>
    <w:rsid w:val="00991508"/>
    <w:pPr>
      <w:spacing w:before="0" w:after="200"/>
    </w:pPr>
    <w:rPr>
      <w:rFonts w:eastAsiaTheme="minorHAnsi" w:cstheme="minorBidi"/>
      <w:b/>
      <w:color w:val="579305" w:themeColor="accent1"/>
      <w:sz w:val="18"/>
      <w:szCs w:val="18"/>
      <w:lang w:eastAsia="en-US"/>
    </w:rPr>
  </w:style>
  <w:style w:type="character" w:styleId="CommentReference">
    <w:name w:val="annotation reference"/>
    <w:basedOn w:val="DefaultParagraphFont"/>
    <w:uiPriority w:val="99"/>
    <w:semiHidden/>
    <w:unhideWhenUsed/>
    <w:rsid w:val="00991508"/>
    <w:rPr>
      <w:sz w:val="16"/>
      <w:szCs w:val="16"/>
    </w:rPr>
  </w:style>
  <w:style w:type="paragraph" w:styleId="CommentText">
    <w:name w:val="annotation text"/>
    <w:basedOn w:val="Normal"/>
    <w:link w:val="CommentTextChar"/>
    <w:uiPriority w:val="99"/>
    <w:semiHidden/>
    <w:unhideWhenUsed/>
    <w:rsid w:val="00991508"/>
    <w:rPr>
      <w:szCs w:val="20"/>
    </w:rPr>
  </w:style>
  <w:style w:type="character" w:customStyle="1" w:styleId="CommentTextChar">
    <w:name w:val="Comment Text Char"/>
    <w:basedOn w:val="DefaultParagraphFont"/>
    <w:link w:val="CommentText"/>
    <w:uiPriority w:val="99"/>
    <w:semiHidden/>
    <w:rsid w:val="00991508"/>
    <w:rPr>
      <w:rFonts w:ascii="Traditional Arabic" w:hAnsi="Traditional Arabic" w:cs="Traditional Arabic"/>
      <w:sz w:val="24"/>
      <w:lang w:eastAsia="es-ES"/>
    </w:rPr>
  </w:style>
  <w:style w:type="paragraph" w:styleId="CommentSubject">
    <w:name w:val="annotation subject"/>
    <w:basedOn w:val="CommentText"/>
    <w:next w:val="CommentText"/>
    <w:link w:val="CommentSubjectChar"/>
    <w:uiPriority w:val="99"/>
    <w:semiHidden/>
    <w:unhideWhenUsed/>
    <w:rsid w:val="00991508"/>
    <w:rPr>
      <w:b/>
    </w:rPr>
  </w:style>
  <w:style w:type="character" w:customStyle="1" w:styleId="CommentSubjectChar">
    <w:name w:val="Comment Subject Char"/>
    <w:basedOn w:val="CommentTextChar"/>
    <w:link w:val="CommentSubject"/>
    <w:uiPriority w:val="99"/>
    <w:semiHidden/>
    <w:rsid w:val="00991508"/>
    <w:rPr>
      <w:rFonts w:ascii="Traditional Arabic" w:hAnsi="Traditional Arabic" w:cs="Traditional Arabic"/>
      <w:b/>
      <w:sz w:val="24"/>
      <w:lang w:eastAsia="es-ES"/>
    </w:rPr>
  </w:style>
  <w:style w:type="character" w:styleId="Emphasis">
    <w:name w:val="Emphasis"/>
    <w:qFormat/>
    <w:rsid w:val="00991508"/>
    <w:rPr>
      <w:b/>
      <w:i w:val="0"/>
      <w:iCs/>
    </w:rPr>
  </w:style>
  <w:style w:type="character" w:styleId="FollowedHyperlink">
    <w:name w:val="FollowedHyperlink"/>
    <w:basedOn w:val="DefaultParagraphFont"/>
    <w:uiPriority w:val="99"/>
    <w:semiHidden/>
    <w:unhideWhenUsed/>
    <w:rsid w:val="00991508"/>
    <w:rPr>
      <w:color w:val="004386"/>
      <w:u w:val="single"/>
    </w:rPr>
  </w:style>
  <w:style w:type="paragraph" w:styleId="Footer">
    <w:name w:val="footer"/>
    <w:basedOn w:val="Normal"/>
    <w:link w:val="FooterChar"/>
    <w:uiPriority w:val="1"/>
    <w:rsid w:val="00991508"/>
    <w:pPr>
      <w:pBdr>
        <w:top w:val="single" w:sz="4" w:space="4" w:color="004386" w:themeColor="text2"/>
      </w:pBdr>
      <w:tabs>
        <w:tab w:val="right" w:pos="9356"/>
      </w:tabs>
      <w:spacing w:before="0"/>
    </w:pPr>
    <w:rPr>
      <w:color w:val="004386" w:themeColor="text2"/>
    </w:rPr>
  </w:style>
  <w:style w:type="character" w:customStyle="1" w:styleId="FooterChar">
    <w:name w:val="Footer Char"/>
    <w:basedOn w:val="DefaultParagraphFont"/>
    <w:link w:val="Footer"/>
    <w:uiPriority w:val="1"/>
    <w:rsid w:val="00991508"/>
    <w:rPr>
      <w:rFonts w:ascii="Traditional Arabic" w:hAnsi="Traditional Arabic" w:cs="Traditional Arabic"/>
      <w:color w:val="004386" w:themeColor="text2"/>
      <w:sz w:val="24"/>
      <w:szCs w:val="28"/>
      <w:lang w:eastAsia="es-ES"/>
    </w:rPr>
  </w:style>
  <w:style w:type="paragraph" w:styleId="Header">
    <w:name w:val="header"/>
    <w:basedOn w:val="Normal"/>
    <w:link w:val="HeaderChar"/>
    <w:rsid w:val="00991508"/>
    <w:pPr>
      <w:pBdr>
        <w:bottom w:val="single" w:sz="4" w:space="4" w:color="004386" w:themeColor="text2"/>
      </w:pBdr>
      <w:tabs>
        <w:tab w:val="center" w:pos="4320"/>
        <w:tab w:val="right" w:pos="8640"/>
      </w:tabs>
      <w:spacing w:before="0"/>
    </w:pPr>
    <w:rPr>
      <w:b/>
      <w:bCs/>
      <w:color w:val="579305" w:themeColor="accent1"/>
      <w:sz w:val="28"/>
      <w:lang w:val="fr-FR" w:eastAsia="en-US" w:bidi="ar-TN"/>
    </w:rPr>
  </w:style>
  <w:style w:type="character" w:customStyle="1" w:styleId="HeaderChar">
    <w:name w:val="Header Char"/>
    <w:basedOn w:val="DefaultParagraphFont"/>
    <w:link w:val="Header"/>
    <w:rsid w:val="00991508"/>
    <w:rPr>
      <w:rFonts w:ascii="Traditional Arabic" w:hAnsi="Traditional Arabic" w:cs="Traditional Arabic"/>
      <w:b/>
      <w:bCs/>
      <w:color w:val="579305" w:themeColor="accent1"/>
      <w:sz w:val="28"/>
      <w:szCs w:val="28"/>
      <w:lang w:val="fr-FR" w:bidi="ar-TN"/>
    </w:rPr>
  </w:style>
  <w:style w:type="character" w:customStyle="1" w:styleId="Heading6Char">
    <w:name w:val="Heading 6 Char"/>
    <w:basedOn w:val="DefaultParagraphFont"/>
    <w:link w:val="Heading6"/>
    <w:uiPriority w:val="9"/>
    <w:rsid w:val="00991508"/>
    <w:rPr>
      <w:rFonts w:asciiTheme="majorHAnsi" w:eastAsiaTheme="majorEastAsia" w:hAnsiTheme="majorHAnsi" w:cstheme="majorBidi"/>
      <w:color w:val="2B4902" w:themeColor="accent1" w:themeShade="7F"/>
      <w:sz w:val="24"/>
      <w:szCs w:val="28"/>
      <w:lang w:eastAsia="es-ES"/>
    </w:rPr>
  </w:style>
  <w:style w:type="character" w:styleId="Hyperlink">
    <w:name w:val="Hyperlink"/>
    <w:basedOn w:val="DefaultParagraphFont"/>
    <w:uiPriority w:val="1"/>
    <w:rsid w:val="00991508"/>
    <w:rPr>
      <w:rFonts w:ascii="Tahoma" w:hAnsi="Tahoma" w:cs="Traditional Arabic"/>
      <w:b w:val="0"/>
      <w:i w:val="0"/>
      <w:noProof/>
      <w:color w:val="004386"/>
      <w:sz w:val="24"/>
      <w:szCs w:val="24"/>
      <w:u w:val="single"/>
      <w:lang w:val="en-GB"/>
    </w:rPr>
  </w:style>
  <w:style w:type="paragraph" w:customStyle="1" w:styleId="table">
    <w:name w:val="table"/>
    <w:aliases w:val="t"/>
    <w:basedOn w:val="Normal"/>
    <w:qFormat/>
    <w:rsid w:val="00991508"/>
    <w:pPr>
      <w:spacing w:before="40" w:after="40"/>
    </w:pPr>
  </w:style>
  <w:style w:type="paragraph" w:customStyle="1" w:styleId="Latinurl">
    <w:name w:val="Latin url"/>
    <w:basedOn w:val="table"/>
    <w:qFormat/>
    <w:rsid w:val="00991508"/>
    <w:rPr>
      <w:rFonts w:ascii="Calibri" w:hAnsi="Calibri"/>
      <w:sz w:val="22"/>
      <w:szCs w:val="22"/>
    </w:rPr>
  </w:style>
  <w:style w:type="paragraph" w:styleId="ListParagraph">
    <w:name w:val="List Paragraph"/>
    <w:basedOn w:val="Normal"/>
    <w:uiPriority w:val="34"/>
    <w:qFormat/>
    <w:rsid w:val="00991508"/>
    <w:pPr>
      <w:ind w:left="720"/>
      <w:contextualSpacing/>
    </w:pPr>
  </w:style>
  <w:style w:type="paragraph" w:customStyle="1" w:styleId="Moduledescription">
    <w:name w:val="Module description"/>
    <w:basedOn w:val="Normal"/>
    <w:qFormat/>
    <w:rsid w:val="00991508"/>
    <w:rPr>
      <w:b/>
      <w:bCs/>
      <w:color w:val="579305" w:themeColor="accent1"/>
    </w:rPr>
  </w:style>
  <w:style w:type="character" w:styleId="PageNumber">
    <w:name w:val="page number"/>
    <w:basedOn w:val="DefaultParagraphFont"/>
    <w:uiPriority w:val="99"/>
    <w:semiHidden/>
    <w:unhideWhenUsed/>
    <w:rsid w:val="00991508"/>
    <w:rPr>
      <w:rFonts w:asciiTheme="minorHAnsi" w:hAnsiTheme="minorHAnsi"/>
    </w:rPr>
  </w:style>
  <w:style w:type="paragraph" w:customStyle="1" w:styleId="tablebullet">
    <w:name w:val="table bullet"/>
    <w:basedOn w:val="table"/>
    <w:qFormat/>
    <w:rsid w:val="00991508"/>
    <w:pPr>
      <w:numPr>
        <w:numId w:val="25"/>
      </w:numPr>
    </w:pPr>
  </w:style>
  <w:style w:type="table" w:styleId="TableGrid">
    <w:name w:val="Table Grid"/>
    <w:basedOn w:val="TableNormal"/>
    <w:uiPriority w:val="59"/>
    <w:rsid w:val="00991508"/>
    <w:rPr>
      <w:lang w:val="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aliases w:val="th"/>
    <w:basedOn w:val="table"/>
    <w:qFormat/>
    <w:rsid w:val="0069635D"/>
    <w:rPr>
      <w:b/>
      <w:bCs/>
      <w:color w:val="004386" w:themeColor="text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1"/>
    <w:lsdException w:name="caption" w:uiPriority="35" w:qFormat="1"/>
    <w:lsdException w:name="Title" w:semiHidden="0" w:unhideWhenUsed="0" w:qFormat="1"/>
    <w:lsdException w:name="Default Paragraph Font" w:uiPriority="1"/>
    <w:lsdException w:name="Subtitle" w:semiHidden="0" w:uiPriority="11" w:unhideWhenUsed="0" w:qFormat="1"/>
    <w:lsdException w:name="Hyperlink" w:uiPriority="1"/>
    <w:lsdException w:name="Strong" w:semiHidden="0" w:uiPriority="0" w:unhideWhenUsed="0" w:qFormat="1"/>
    <w:lsdException w:name="Emphasis" w:semiHidden="0" w:uiPriority="0" w:unhideWhenUsed="0" w:qFormat="1"/>
    <w:lsdException w:name="Table Grid" w:semiHidden="0" w:uiPriority="59"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Normal">
    <w:name w:val="Normal"/>
    <w:aliases w:val="n"/>
    <w:qFormat/>
    <w:rsid w:val="00CF4D3E"/>
    <w:pPr>
      <w:keepLines/>
      <w:bidi/>
      <w:spacing w:before="160"/>
    </w:pPr>
    <w:rPr>
      <w:rFonts w:ascii="Traditional Arabic" w:hAnsi="Traditional Arabic" w:cs="Traditional Arabic"/>
      <w:sz w:val="24"/>
      <w:szCs w:val="28"/>
      <w:lang w:eastAsia="es-ES"/>
    </w:rPr>
  </w:style>
  <w:style w:type="paragraph" w:styleId="Heading1">
    <w:name w:val="heading 1"/>
    <w:aliases w:val="h1"/>
    <w:basedOn w:val="Normal"/>
    <w:next w:val="Normal"/>
    <w:link w:val="Heading1Char"/>
    <w:qFormat/>
    <w:rsid w:val="00991508"/>
    <w:pPr>
      <w:keepNext/>
      <w:tabs>
        <w:tab w:val="right" w:pos="9356"/>
      </w:tabs>
      <w:spacing w:before="0"/>
      <w:outlineLvl w:val="0"/>
    </w:pPr>
    <w:rPr>
      <w:rFonts w:eastAsiaTheme="majorEastAsia"/>
      <w:b/>
      <w:bCs/>
      <w:color w:val="004386"/>
      <w:kern w:val="32"/>
      <w:sz w:val="36"/>
      <w:szCs w:val="32"/>
    </w:rPr>
  </w:style>
  <w:style w:type="paragraph" w:styleId="Heading2">
    <w:name w:val="heading 2"/>
    <w:aliases w:val="h2"/>
    <w:basedOn w:val="Heading1"/>
    <w:next w:val="Normal"/>
    <w:link w:val="Heading2Char"/>
    <w:qFormat/>
    <w:rsid w:val="00991508"/>
    <w:pPr>
      <w:pBdr>
        <w:bottom w:val="single" w:sz="4" w:space="4" w:color="004386" w:themeColor="text2"/>
      </w:pBdr>
      <w:spacing w:before="80"/>
      <w:outlineLvl w:val="1"/>
    </w:pPr>
    <w:rPr>
      <w:bCs w:val="0"/>
      <w:i/>
      <w:iCs/>
      <w:color w:val="004386" w:themeColor="text2"/>
    </w:rPr>
  </w:style>
  <w:style w:type="paragraph" w:styleId="Heading3">
    <w:name w:val="heading 3"/>
    <w:aliases w:val="h3"/>
    <w:basedOn w:val="Heading2"/>
    <w:next w:val="Normal"/>
    <w:link w:val="Heading3Char"/>
    <w:qFormat/>
    <w:rsid w:val="00991508"/>
    <w:pPr>
      <w:pBdr>
        <w:bottom w:val="none" w:sz="0" w:space="0" w:color="auto"/>
      </w:pBdr>
      <w:spacing w:before="320"/>
      <w:outlineLvl w:val="2"/>
    </w:pPr>
    <w:rPr>
      <w:bCs/>
      <w:i w:val="0"/>
      <w:iCs w:val="0"/>
      <w:sz w:val="28"/>
      <w:szCs w:val="36"/>
    </w:rPr>
  </w:style>
  <w:style w:type="paragraph" w:styleId="Heading4">
    <w:name w:val="heading 4"/>
    <w:aliases w:val="h4"/>
    <w:basedOn w:val="Heading3"/>
    <w:next w:val="Normal"/>
    <w:link w:val="Heading4Char"/>
    <w:qFormat/>
    <w:rsid w:val="00991508"/>
    <w:pPr>
      <w:spacing w:before="160"/>
      <w:outlineLvl w:val="3"/>
    </w:pPr>
    <w:rPr>
      <w:rFonts w:eastAsia="Traditional Arabic"/>
      <w:szCs w:val="28"/>
    </w:rPr>
  </w:style>
  <w:style w:type="paragraph" w:styleId="Heading5">
    <w:name w:val="heading 5"/>
    <w:basedOn w:val="Normal"/>
    <w:next w:val="Normal"/>
    <w:link w:val="Heading5Char"/>
    <w:qFormat/>
    <w:rsid w:val="00991508"/>
    <w:pPr>
      <w:keepNext/>
      <w:outlineLvl w:val="4"/>
    </w:pPr>
    <w:rPr>
      <w:b/>
      <w:bCs/>
    </w:rPr>
  </w:style>
  <w:style w:type="paragraph" w:styleId="Heading6">
    <w:name w:val="heading 6"/>
    <w:basedOn w:val="Normal"/>
    <w:next w:val="Normal"/>
    <w:link w:val="Heading6Char"/>
    <w:uiPriority w:val="9"/>
    <w:unhideWhenUsed/>
    <w:qFormat/>
    <w:rsid w:val="00991508"/>
    <w:pPr>
      <w:keepNext/>
      <w:spacing w:before="40"/>
      <w:outlineLvl w:val="5"/>
    </w:pPr>
    <w:rPr>
      <w:rFonts w:asciiTheme="majorHAnsi" w:eastAsiaTheme="majorEastAsia" w:hAnsiTheme="majorHAnsi" w:cstheme="majorBidi"/>
      <w:color w:val="2B4902"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991508"/>
    <w:rPr>
      <w:rFonts w:ascii="Traditional Arabic" w:eastAsiaTheme="majorEastAsia" w:hAnsi="Traditional Arabic" w:cs="Traditional Arabic"/>
      <w:b/>
      <w:bCs/>
      <w:color w:val="004386"/>
      <w:kern w:val="32"/>
      <w:sz w:val="36"/>
      <w:szCs w:val="32"/>
      <w:lang w:eastAsia="es-ES"/>
    </w:rPr>
  </w:style>
  <w:style w:type="character" w:customStyle="1" w:styleId="Heading2Char">
    <w:name w:val="Heading 2 Char"/>
    <w:aliases w:val="h2 Char"/>
    <w:basedOn w:val="DefaultParagraphFont"/>
    <w:link w:val="Heading2"/>
    <w:rsid w:val="00991508"/>
    <w:rPr>
      <w:rFonts w:ascii="Traditional Arabic" w:eastAsiaTheme="majorEastAsia" w:hAnsi="Traditional Arabic" w:cs="Traditional Arabic"/>
      <w:b/>
      <w:i/>
      <w:iCs/>
      <w:color w:val="004386" w:themeColor="text2"/>
      <w:kern w:val="32"/>
      <w:sz w:val="36"/>
      <w:szCs w:val="32"/>
      <w:lang w:eastAsia="es-ES"/>
    </w:rPr>
  </w:style>
  <w:style w:type="character" w:customStyle="1" w:styleId="Heading3Char">
    <w:name w:val="Heading 3 Char"/>
    <w:aliases w:val="h3 Char"/>
    <w:basedOn w:val="DefaultParagraphFont"/>
    <w:link w:val="Heading3"/>
    <w:rsid w:val="00991508"/>
    <w:rPr>
      <w:rFonts w:ascii="Traditional Arabic" w:eastAsiaTheme="majorEastAsia" w:hAnsi="Traditional Arabic" w:cs="Traditional Arabic"/>
      <w:b/>
      <w:bCs/>
      <w:color w:val="004386" w:themeColor="text2"/>
      <w:kern w:val="32"/>
      <w:sz w:val="28"/>
      <w:szCs w:val="36"/>
      <w:lang w:eastAsia="es-ES"/>
    </w:rPr>
  </w:style>
  <w:style w:type="character" w:customStyle="1" w:styleId="Heading4Char">
    <w:name w:val="Heading 4 Char"/>
    <w:aliases w:val="h4 Char"/>
    <w:basedOn w:val="DefaultParagraphFont"/>
    <w:link w:val="Heading4"/>
    <w:rsid w:val="00991508"/>
    <w:rPr>
      <w:rFonts w:ascii="Traditional Arabic" w:eastAsia="Traditional Arabic" w:hAnsi="Traditional Arabic" w:cs="Traditional Arabic"/>
      <w:b/>
      <w:bCs/>
      <w:color w:val="004386" w:themeColor="text2"/>
      <w:kern w:val="32"/>
      <w:sz w:val="28"/>
      <w:szCs w:val="28"/>
      <w:lang w:eastAsia="es-ES"/>
    </w:rPr>
  </w:style>
  <w:style w:type="character" w:customStyle="1" w:styleId="Heading5Char">
    <w:name w:val="Heading 5 Char"/>
    <w:basedOn w:val="DefaultParagraphFont"/>
    <w:link w:val="Heading5"/>
    <w:rsid w:val="00991508"/>
    <w:rPr>
      <w:rFonts w:ascii="Traditional Arabic" w:hAnsi="Traditional Arabic" w:cs="Traditional Arabic"/>
      <w:b/>
      <w:bCs/>
      <w:sz w:val="24"/>
      <w:szCs w:val="28"/>
      <w:lang w:eastAsia="es-ES"/>
    </w:rPr>
  </w:style>
  <w:style w:type="paragraph" w:styleId="BalloonText">
    <w:name w:val="Balloon Text"/>
    <w:basedOn w:val="Normal"/>
    <w:link w:val="BalloonTextChar"/>
    <w:uiPriority w:val="99"/>
    <w:semiHidden/>
    <w:unhideWhenUsed/>
    <w:rsid w:val="00991508"/>
    <w:pPr>
      <w:spacing w:before="0"/>
    </w:pPr>
    <w:rPr>
      <w:rFonts w:cs="Tahoma"/>
      <w:sz w:val="16"/>
      <w:szCs w:val="16"/>
    </w:rPr>
  </w:style>
  <w:style w:type="character" w:customStyle="1" w:styleId="BalloonTextChar">
    <w:name w:val="Balloon Text Char"/>
    <w:basedOn w:val="DefaultParagraphFont"/>
    <w:link w:val="BalloonText"/>
    <w:uiPriority w:val="99"/>
    <w:semiHidden/>
    <w:rsid w:val="00991508"/>
    <w:rPr>
      <w:rFonts w:ascii="Traditional Arabic" w:hAnsi="Traditional Arabic" w:cs="Tahoma"/>
      <w:sz w:val="16"/>
      <w:szCs w:val="16"/>
      <w:lang w:eastAsia="es-ES"/>
    </w:rPr>
  </w:style>
  <w:style w:type="paragraph" w:customStyle="1" w:styleId="bullet">
    <w:name w:val="bullet"/>
    <w:aliases w:val="b"/>
    <w:basedOn w:val="Normal"/>
    <w:qFormat/>
    <w:rsid w:val="00991508"/>
    <w:pPr>
      <w:numPr>
        <w:numId w:val="24"/>
      </w:numPr>
      <w:spacing w:before="80"/>
    </w:pPr>
  </w:style>
  <w:style w:type="paragraph" w:styleId="Caption">
    <w:name w:val="caption"/>
    <w:basedOn w:val="Normal"/>
    <w:next w:val="Normal"/>
    <w:uiPriority w:val="35"/>
    <w:semiHidden/>
    <w:qFormat/>
    <w:rsid w:val="00991508"/>
    <w:pPr>
      <w:spacing w:before="0" w:after="200"/>
    </w:pPr>
    <w:rPr>
      <w:rFonts w:eastAsiaTheme="minorHAnsi" w:cstheme="minorBidi"/>
      <w:b/>
      <w:color w:val="579305" w:themeColor="accent1"/>
      <w:sz w:val="18"/>
      <w:szCs w:val="18"/>
      <w:lang w:eastAsia="en-US"/>
    </w:rPr>
  </w:style>
  <w:style w:type="character" w:styleId="CommentReference">
    <w:name w:val="annotation reference"/>
    <w:basedOn w:val="DefaultParagraphFont"/>
    <w:uiPriority w:val="99"/>
    <w:semiHidden/>
    <w:unhideWhenUsed/>
    <w:rsid w:val="00991508"/>
    <w:rPr>
      <w:sz w:val="16"/>
      <w:szCs w:val="16"/>
    </w:rPr>
  </w:style>
  <w:style w:type="paragraph" w:styleId="CommentText">
    <w:name w:val="annotation text"/>
    <w:basedOn w:val="Normal"/>
    <w:link w:val="CommentTextChar"/>
    <w:uiPriority w:val="99"/>
    <w:semiHidden/>
    <w:unhideWhenUsed/>
    <w:rsid w:val="00991508"/>
    <w:rPr>
      <w:szCs w:val="20"/>
    </w:rPr>
  </w:style>
  <w:style w:type="character" w:customStyle="1" w:styleId="CommentTextChar">
    <w:name w:val="Comment Text Char"/>
    <w:basedOn w:val="DefaultParagraphFont"/>
    <w:link w:val="CommentText"/>
    <w:uiPriority w:val="99"/>
    <w:semiHidden/>
    <w:rsid w:val="00991508"/>
    <w:rPr>
      <w:rFonts w:ascii="Traditional Arabic" w:hAnsi="Traditional Arabic" w:cs="Traditional Arabic"/>
      <w:sz w:val="24"/>
      <w:lang w:eastAsia="es-ES"/>
    </w:rPr>
  </w:style>
  <w:style w:type="paragraph" w:styleId="CommentSubject">
    <w:name w:val="annotation subject"/>
    <w:basedOn w:val="CommentText"/>
    <w:next w:val="CommentText"/>
    <w:link w:val="CommentSubjectChar"/>
    <w:uiPriority w:val="99"/>
    <w:semiHidden/>
    <w:unhideWhenUsed/>
    <w:rsid w:val="00991508"/>
    <w:rPr>
      <w:b/>
    </w:rPr>
  </w:style>
  <w:style w:type="character" w:customStyle="1" w:styleId="CommentSubjectChar">
    <w:name w:val="Comment Subject Char"/>
    <w:basedOn w:val="CommentTextChar"/>
    <w:link w:val="CommentSubject"/>
    <w:uiPriority w:val="99"/>
    <w:semiHidden/>
    <w:rsid w:val="00991508"/>
    <w:rPr>
      <w:rFonts w:ascii="Traditional Arabic" w:hAnsi="Traditional Arabic" w:cs="Traditional Arabic"/>
      <w:b/>
      <w:sz w:val="24"/>
      <w:lang w:eastAsia="es-ES"/>
    </w:rPr>
  </w:style>
  <w:style w:type="character" w:styleId="Emphasis">
    <w:name w:val="Emphasis"/>
    <w:qFormat/>
    <w:rsid w:val="00991508"/>
    <w:rPr>
      <w:b/>
      <w:i w:val="0"/>
      <w:iCs/>
    </w:rPr>
  </w:style>
  <w:style w:type="character" w:styleId="FollowedHyperlink">
    <w:name w:val="FollowedHyperlink"/>
    <w:basedOn w:val="DefaultParagraphFont"/>
    <w:uiPriority w:val="99"/>
    <w:semiHidden/>
    <w:unhideWhenUsed/>
    <w:rsid w:val="00991508"/>
    <w:rPr>
      <w:color w:val="004386"/>
      <w:u w:val="single"/>
    </w:rPr>
  </w:style>
  <w:style w:type="paragraph" w:styleId="Footer">
    <w:name w:val="footer"/>
    <w:basedOn w:val="Normal"/>
    <w:link w:val="FooterChar"/>
    <w:uiPriority w:val="1"/>
    <w:rsid w:val="00991508"/>
    <w:pPr>
      <w:pBdr>
        <w:top w:val="single" w:sz="4" w:space="4" w:color="004386" w:themeColor="text2"/>
      </w:pBdr>
      <w:tabs>
        <w:tab w:val="right" w:pos="9356"/>
      </w:tabs>
      <w:spacing w:before="0"/>
    </w:pPr>
    <w:rPr>
      <w:color w:val="004386" w:themeColor="text2"/>
    </w:rPr>
  </w:style>
  <w:style w:type="character" w:customStyle="1" w:styleId="FooterChar">
    <w:name w:val="Footer Char"/>
    <w:basedOn w:val="DefaultParagraphFont"/>
    <w:link w:val="Footer"/>
    <w:uiPriority w:val="1"/>
    <w:rsid w:val="00991508"/>
    <w:rPr>
      <w:rFonts w:ascii="Traditional Arabic" w:hAnsi="Traditional Arabic" w:cs="Traditional Arabic"/>
      <w:color w:val="004386" w:themeColor="text2"/>
      <w:sz w:val="24"/>
      <w:szCs w:val="28"/>
      <w:lang w:eastAsia="es-ES"/>
    </w:rPr>
  </w:style>
  <w:style w:type="paragraph" w:styleId="Header">
    <w:name w:val="header"/>
    <w:basedOn w:val="Normal"/>
    <w:link w:val="HeaderChar"/>
    <w:rsid w:val="00991508"/>
    <w:pPr>
      <w:pBdr>
        <w:bottom w:val="single" w:sz="4" w:space="4" w:color="004386" w:themeColor="text2"/>
      </w:pBdr>
      <w:tabs>
        <w:tab w:val="center" w:pos="4320"/>
        <w:tab w:val="right" w:pos="8640"/>
      </w:tabs>
      <w:spacing w:before="0"/>
    </w:pPr>
    <w:rPr>
      <w:b/>
      <w:bCs/>
      <w:color w:val="579305" w:themeColor="accent1"/>
      <w:sz w:val="28"/>
      <w:lang w:val="fr-FR" w:eastAsia="en-US" w:bidi="ar-TN"/>
    </w:rPr>
  </w:style>
  <w:style w:type="character" w:customStyle="1" w:styleId="HeaderChar">
    <w:name w:val="Header Char"/>
    <w:basedOn w:val="DefaultParagraphFont"/>
    <w:link w:val="Header"/>
    <w:rsid w:val="00991508"/>
    <w:rPr>
      <w:rFonts w:ascii="Traditional Arabic" w:hAnsi="Traditional Arabic" w:cs="Traditional Arabic"/>
      <w:b/>
      <w:bCs/>
      <w:color w:val="579305" w:themeColor="accent1"/>
      <w:sz w:val="28"/>
      <w:szCs w:val="28"/>
      <w:lang w:val="fr-FR" w:bidi="ar-TN"/>
    </w:rPr>
  </w:style>
  <w:style w:type="character" w:customStyle="1" w:styleId="Heading6Char">
    <w:name w:val="Heading 6 Char"/>
    <w:basedOn w:val="DefaultParagraphFont"/>
    <w:link w:val="Heading6"/>
    <w:uiPriority w:val="9"/>
    <w:rsid w:val="00991508"/>
    <w:rPr>
      <w:rFonts w:asciiTheme="majorHAnsi" w:eastAsiaTheme="majorEastAsia" w:hAnsiTheme="majorHAnsi" w:cstheme="majorBidi"/>
      <w:color w:val="2B4902" w:themeColor="accent1" w:themeShade="7F"/>
      <w:sz w:val="24"/>
      <w:szCs w:val="28"/>
      <w:lang w:eastAsia="es-ES"/>
    </w:rPr>
  </w:style>
  <w:style w:type="character" w:styleId="Hyperlink">
    <w:name w:val="Hyperlink"/>
    <w:basedOn w:val="DefaultParagraphFont"/>
    <w:uiPriority w:val="1"/>
    <w:rsid w:val="00991508"/>
    <w:rPr>
      <w:rFonts w:ascii="Tahoma" w:hAnsi="Tahoma" w:cs="Traditional Arabic"/>
      <w:b w:val="0"/>
      <w:i w:val="0"/>
      <w:noProof/>
      <w:color w:val="004386"/>
      <w:sz w:val="24"/>
      <w:szCs w:val="24"/>
      <w:u w:val="single"/>
      <w:lang w:val="en-GB"/>
    </w:rPr>
  </w:style>
  <w:style w:type="paragraph" w:customStyle="1" w:styleId="table">
    <w:name w:val="table"/>
    <w:aliases w:val="t"/>
    <w:basedOn w:val="Normal"/>
    <w:qFormat/>
    <w:rsid w:val="00991508"/>
    <w:pPr>
      <w:spacing w:before="40" w:after="40"/>
    </w:pPr>
  </w:style>
  <w:style w:type="paragraph" w:customStyle="1" w:styleId="Latinurl">
    <w:name w:val="Latin url"/>
    <w:basedOn w:val="table"/>
    <w:qFormat/>
    <w:rsid w:val="00991508"/>
    <w:rPr>
      <w:rFonts w:ascii="Calibri" w:hAnsi="Calibri"/>
      <w:sz w:val="22"/>
      <w:szCs w:val="22"/>
    </w:rPr>
  </w:style>
  <w:style w:type="paragraph" w:styleId="ListParagraph">
    <w:name w:val="List Paragraph"/>
    <w:basedOn w:val="Normal"/>
    <w:uiPriority w:val="34"/>
    <w:qFormat/>
    <w:rsid w:val="00991508"/>
    <w:pPr>
      <w:ind w:left="720"/>
      <w:contextualSpacing/>
    </w:pPr>
  </w:style>
  <w:style w:type="paragraph" w:customStyle="1" w:styleId="Moduledescription">
    <w:name w:val="Module description"/>
    <w:basedOn w:val="Normal"/>
    <w:qFormat/>
    <w:rsid w:val="00991508"/>
    <w:rPr>
      <w:b/>
      <w:bCs/>
      <w:color w:val="579305" w:themeColor="accent1"/>
    </w:rPr>
  </w:style>
  <w:style w:type="character" w:styleId="PageNumber">
    <w:name w:val="page number"/>
    <w:basedOn w:val="DefaultParagraphFont"/>
    <w:uiPriority w:val="99"/>
    <w:semiHidden/>
    <w:unhideWhenUsed/>
    <w:rsid w:val="00991508"/>
    <w:rPr>
      <w:rFonts w:asciiTheme="minorHAnsi" w:hAnsiTheme="minorHAnsi"/>
    </w:rPr>
  </w:style>
  <w:style w:type="paragraph" w:customStyle="1" w:styleId="tablebullet">
    <w:name w:val="table bullet"/>
    <w:basedOn w:val="table"/>
    <w:qFormat/>
    <w:rsid w:val="00991508"/>
    <w:pPr>
      <w:numPr>
        <w:numId w:val="25"/>
      </w:numPr>
    </w:pPr>
  </w:style>
  <w:style w:type="table" w:styleId="TableGrid">
    <w:name w:val="Table Grid"/>
    <w:basedOn w:val="TableNormal"/>
    <w:uiPriority w:val="59"/>
    <w:rsid w:val="00991508"/>
    <w:rPr>
      <w:lang w:val="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aliases w:val="th"/>
    <w:basedOn w:val="table"/>
    <w:qFormat/>
    <w:rsid w:val="0069635D"/>
    <w:rPr>
      <w:b/>
      <w:bCs/>
      <w:color w:val="004386" w:themeColor="text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Speher Arabic ppt theme">
  <a:themeElements>
    <a:clrScheme name="Sphere Arabic">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Sphere Arabic">
      <a:majorFont>
        <a:latin typeface="Traditional Arabic"/>
        <a:ea typeface=""/>
        <a:cs typeface="Traditional Arabic"/>
      </a:majorFont>
      <a:minorFont>
        <a:latin typeface="Traditional Arabic"/>
        <a:ea typeface=""/>
        <a:cs typeface="Traditional Arabic"/>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thm15="http://schemas.microsoft.com/office/thememl/2012/main" xmlns="" name="Speher Arabic ppt theme" id="{E8BFA150-2B5B-48C8-8981-66A7178BA1E8}" vid="{5FA11942-FBDE-4059-82D6-9E5DA248BAAB}"/>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BAF27D-A60E-49E0-9DA2-DDFFE465A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5</Pages>
  <Words>666</Words>
  <Characters>3667</Characters>
  <Application>Microsoft Office Word</Application>
  <DocSecurity>0</DocSecurity>
  <Lines>30</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LinksUpToDate>false</LinksUpToDate>
  <CharactersWithSpaces>4325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2015-01-05T10:17:00Z</cp:lastPrinted>
  <dcterms:created xsi:type="dcterms:W3CDTF">2015-04-13T12:09:00Z</dcterms:created>
  <dcterms:modified xsi:type="dcterms:W3CDTF">2015-05-25T08:58:00Z</dcterms:modified>
</cp:coreProperties>
</file>